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865864" w14:textId="1018CD4B" w:rsidR="00F8430A" w:rsidRDefault="00F8430A" w:rsidP="00F8430A">
      <w:pPr>
        <w:shd w:val="clear" w:color="auto" w:fill="1B4F8A"/>
        <w:spacing w:before="200" w:after="40"/>
        <w:jc w:val="center"/>
      </w:pPr>
      <w:r>
        <w:rPr>
          <w:rFonts w:ascii="Arial" w:eastAsia="Arial" w:hAnsi="Arial" w:cs="Arial"/>
          <w:b/>
          <w:bCs/>
          <w:color w:val="FFFFFF"/>
          <w:sz w:val="36"/>
          <w:szCs w:val="36"/>
        </w:rPr>
        <w:t xml:space="preserve">VIETNAM FINANCE CASE </w:t>
      </w:r>
      <w:r w:rsidR="00B15DA0">
        <w:rPr>
          <w:rFonts w:ascii="Arial" w:eastAsia="Arial" w:hAnsi="Arial" w:cs="Arial"/>
          <w:b/>
          <w:bCs/>
          <w:color w:val="FFFFFF"/>
          <w:sz w:val="36"/>
          <w:szCs w:val="36"/>
        </w:rPr>
        <w:t>COMPETITION</w:t>
      </w:r>
      <w:r>
        <w:rPr>
          <w:rFonts w:ascii="Arial" w:eastAsia="Arial" w:hAnsi="Arial" w:cs="Arial"/>
          <w:b/>
          <w:bCs/>
          <w:color w:val="FFFFFF"/>
          <w:sz w:val="36"/>
          <w:szCs w:val="36"/>
        </w:rPr>
        <w:t xml:space="preserve"> (VFCC)</w:t>
      </w:r>
    </w:p>
    <w:p w14:paraId="12F9C481" w14:textId="77777777" w:rsidR="00F8430A" w:rsidRDefault="00F8430A" w:rsidP="00F8430A">
      <w:pPr>
        <w:shd w:val="clear" w:color="auto" w:fill="1B4F8A"/>
        <w:spacing w:after="40"/>
        <w:jc w:val="center"/>
      </w:pPr>
      <w:r>
        <w:rPr>
          <w:rFonts w:ascii="Arial" w:eastAsia="Arial" w:hAnsi="Arial" w:cs="Arial"/>
          <w:i/>
          <w:iCs/>
          <w:color w:val="FFFFFF"/>
          <w:sz w:val="26"/>
          <w:szCs w:val="26"/>
        </w:rPr>
        <w:t>Inaugural-Year Proposal</w:t>
      </w:r>
    </w:p>
    <w:p w14:paraId="7BAF36CD" w14:textId="77777777" w:rsidR="00B15DA0" w:rsidRDefault="00F8430A" w:rsidP="00B15DA0">
      <w:pPr>
        <w:shd w:val="clear" w:color="auto" w:fill="1B4F8A"/>
        <w:spacing w:after="120"/>
        <w:jc w:val="center"/>
        <w:rPr>
          <w:rFonts w:ascii="Arial" w:eastAsia="Arial" w:hAnsi="Arial" w:cs="Arial"/>
          <w:color w:val="FFFFFF"/>
          <w:sz w:val="28"/>
          <w:szCs w:val="28"/>
        </w:rPr>
      </w:pPr>
      <w:r w:rsidRPr="00294300">
        <w:rPr>
          <w:rFonts w:ascii="Arial" w:eastAsia="Arial" w:hAnsi="Arial" w:cs="Arial"/>
          <w:color w:val="FFFFFF"/>
          <w:sz w:val="28"/>
          <w:szCs w:val="28"/>
        </w:rPr>
        <w:t>Vietnam Finance Association International (VFAI</w:t>
      </w:r>
      <w:r w:rsidR="00B15DA0">
        <w:rPr>
          <w:rFonts w:ascii="Arial" w:eastAsia="Arial" w:hAnsi="Arial" w:cs="Arial"/>
          <w:color w:val="FFFFFF"/>
          <w:sz w:val="28"/>
          <w:szCs w:val="28"/>
        </w:rPr>
        <w:t xml:space="preserve">) </w:t>
      </w:r>
    </w:p>
    <w:p w14:paraId="12F449FB" w14:textId="0BD645AB" w:rsidR="00F8430A" w:rsidRPr="00294300" w:rsidRDefault="00B15DA0" w:rsidP="00F8430A">
      <w:pPr>
        <w:shd w:val="clear" w:color="auto" w:fill="1B4F8A"/>
        <w:spacing w:after="200"/>
        <w:jc w:val="center"/>
        <w:rPr>
          <w:sz w:val="28"/>
          <w:szCs w:val="28"/>
        </w:rPr>
      </w:pPr>
      <w:r w:rsidRPr="00B15DA0">
        <w:rPr>
          <w:rFonts w:ascii="Arial" w:eastAsia="Arial" w:hAnsi="Arial" w:cs="Arial"/>
          <w:color w:val="FFFFFF"/>
          <w:sz w:val="28"/>
          <w:szCs w:val="28"/>
        </w:rPr>
        <w:t>www.vfainternational.org</w:t>
      </w:r>
    </w:p>
    <w:p w14:paraId="40C6CFBE" w14:textId="77777777" w:rsidR="00F8430A" w:rsidRDefault="00F8430A" w:rsidP="00F8430A">
      <w:pPr>
        <w:spacing w:after="100"/>
      </w:pPr>
    </w:p>
    <w:p w14:paraId="261C7049" w14:textId="77777777" w:rsidR="00F8430A" w:rsidRDefault="00F8430A" w:rsidP="00F8430A">
      <w:pPr>
        <w:pBdr>
          <w:left w:val="single" w:sz="14" w:space="8" w:color="1B4F8A"/>
        </w:pBdr>
        <w:shd w:val="clear" w:color="auto" w:fill="D6E4F0"/>
        <w:spacing w:before="80" w:after="80"/>
      </w:pPr>
      <w:r>
        <w:rPr>
          <w:rFonts w:ascii="Arial" w:eastAsia="Arial" w:hAnsi="Arial" w:cs="Arial"/>
          <w:b/>
          <w:bCs/>
          <w:color w:val="1B4F8A"/>
          <w:sz w:val="23"/>
          <w:szCs w:val="23"/>
        </w:rPr>
        <w:t>Executive Summary</w:t>
      </w:r>
    </w:p>
    <w:p w14:paraId="2C0C6634" w14:textId="1D2CC5FA" w:rsidR="00F8430A" w:rsidRPr="00D909B3" w:rsidRDefault="00F8430A" w:rsidP="00522DB2">
      <w:pPr>
        <w:pBdr>
          <w:left w:val="single" w:sz="14" w:space="8" w:color="1B4F8A"/>
        </w:pBdr>
        <w:shd w:val="clear" w:color="auto" w:fill="D6E4F0"/>
        <w:spacing w:after="100"/>
        <w:jc w:val="both"/>
        <w:rPr>
          <w:sz w:val="22"/>
          <w:szCs w:val="22"/>
        </w:rPr>
      </w:pPr>
      <w:r w:rsidRPr="00D909B3">
        <w:rPr>
          <w:rFonts w:ascii="Arial" w:eastAsia="Arial" w:hAnsi="Arial" w:cs="Arial"/>
          <w:color w:val="333333"/>
          <w:sz w:val="22"/>
          <w:szCs w:val="22"/>
        </w:rPr>
        <w:t>The Vietnam Finance Case C</w:t>
      </w:r>
      <w:r w:rsidR="00B15DA0" w:rsidRPr="00D909B3">
        <w:rPr>
          <w:rFonts w:ascii="Arial" w:eastAsia="Arial" w:hAnsi="Arial" w:cs="Arial"/>
          <w:color w:val="333333"/>
          <w:sz w:val="22"/>
          <w:szCs w:val="22"/>
        </w:rPr>
        <w:t>ompetition</w:t>
      </w:r>
      <w:r w:rsidRPr="00D909B3">
        <w:rPr>
          <w:rFonts w:ascii="Arial" w:eastAsia="Arial" w:hAnsi="Arial" w:cs="Arial"/>
          <w:color w:val="333333"/>
          <w:sz w:val="22"/>
          <w:szCs w:val="22"/>
        </w:rPr>
        <w:t xml:space="preserve"> (VFCC) is a new national English-language undergraduate finance competition organized by VFAI, with mergers and acquisitions as its core theme and valuation, restructuring, financing strategy, and strategic analysis incorporated as adjacent disciplines. In the inaugural year, teams from invited partner universities will submit written advisory memos and Excel models in a national screening round; six to eight finalist teams will then advance to an in-person National Finale in Hanoi. The competition is designed to strengthen analytical, valuation, communication, and decision-making skills among Vietnamese undergraduate students, and to establish a credible annual platform for VFAI to deepen engagement with universities and industry partners.</w:t>
      </w:r>
    </w:p>
    <w:p w14:paraId="72B9AFE1"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1. Strategic Positioning</w:t>
      </w:r>
    </w:p>
    <w:p w14:paraId="25600E77" w14:textId="51C4D76E" w:rsidR="00B15DA0" w:rsidRPr="00B15DA0" w:rsidRDefault="00B15DA0" w:rsidP="00B15DA0">
      <w:pPr>
        <w:spacing w:before="60" w:after="100"/>
        <w:jc w:val="both"/>
        <w:rPr>
          <w:rFonts w:ascii="Arial" w:eastAsia="Arial" w:hAnsi="Arial" w:cs="Arial"/>
          <w:color w:val="333333"/>
          <w:sz w:val="22"/>
          <w:szCs w:val="22"/>
        </w:rPr>
      </w:pPr>
      <w:r w:rsidRPr="00B15DA0">
        <w:rPr>
          <w:rFonts w:ascii="Arial" w:eastAsia="Arial" w:hAnsi="Arial" w:cs="Arial"/>
          <w:color w:val="333333"/>
          <w:sz w:val="22"/>
          <w:szCs w:val="22"/>
        </w:rPr>
        <w:t>The Vietnam Finance Case Competition (VFCC) is designed to become Vietnam’s flagship undergraduate finance case competition focused on M&amp;A and transaction advisory. It complements existing business and equity research competitions by training students in deal analysis, valuation, financing strategy, financial modeling, and board-level communication</w:t>
      </w:r>
      <w:r>
        <w:rPr>
          <w:rFonts w:ascii="Arial" w:eastAsia="Arial" w:hAnsi="Arial" w:cs="Arial"/>
          <w:color w:val="333333"/>
          <w:sz w:val="22"/>
          <w:szCs w:val="22"/>
        </w:rPr>
        <w:t xml:space="preserve">, </w:t>
      </w:r>
      <w:r w:rsidRPr="00B15DA0">
        <w:rPr>
          <w:rFonts w:ascii="Arial" w:eastAsia="Arial" w:hAnsi="Arial" w:cs="Arial"/>
          <w:color w:val="333333"/>
          <w:sz w:val="22"/>
          <w:szCs w:val="22"/>
        </w:rPr>
        <w:t>skills that are increasingly important for Vietnam’s evolving financial market.</w:t>
      </w:r>
    </w:p>
    <w:p w14:paraId="7117C0DF" w14:textId="77777777" w:rsidR="00B15DA0" w:rsidRPr="00B15DA0" w:rsidRDefault="00B15DA0" w:rsidP="00B15DA0">
      <w:pPr>
        <w:spacing w:before="60" w:after="100"/>
        <w:jc w:val="both"/>
        <w:rPr>
          <w:rFonts w:ascii="Arial" w:eastAsia="Arial" w:hAnsi="Arial" w:cs="Arial"/>
          <w:color w:val="333333"/>
          <w:sz w:val="22"/>
          <w:szCs w:val="22"/>
        </w:rPr>
      </w:pPr>
      <w:r w:rsidRPr="00B15DA0">
        <w:rPr>
          <w:rFonts w:ascii="Arial" w:eastAsia="Arial" w:hAnsi="Arial" w:cs="Arial"/>
          <w:color w:val="333333"/>
          <w:sz w:val="22"/>
          <w:szCs w:val="22"/>
        </w:rPr>
        <w:t>Unlike broad business case competitions, VFCC is explicitly anchored in finance, with mergers and acquisitions as its thematic core. Each year’s case may also incorporate closely related topics such as capital structure, restructuring, private equity, financing strategy, risk assessment, and post-merger value creation. In this way, VFCC provides a national platform for students interested in investment banking, corporate finance, private equity, consulting, and advisory roles.</w:t>
      </w:r>
    </w:p>
    <w:p w14:paraId="374F1C74" w14:textId="77777777" w:rsidR="00B15DA0" w:rsidRPr="00B15DA0" w:rsidRDefault="00B15DA0" w:rsidP="00B15DA0">
      <w:pPr>
        <w:spacing w:before="60" w:after="100"/>
        <w:jc w:val="both"/>
        <w:rPr>
          <w:rFonts w:ascii="Arial" w:eastAsia="Arial" w:hAnsi="Arial" w:cs="Arial"/>
          <w:color w:val="333333"/>
          <w:sz w:val="22"/>
          <w:szCs w:val="22"/>
        </w:rPr>
      </w:pPr>
      <w:r w:rsidRPr="00B15DA0">
        <w:rPr>
          <w:rFonts w:ascii="Arial" w:eastAsia="Arial" w:hAnsi="Arial" w:cs="Arial"/>
          <w:color w:val="333333"/>
          <w:sz w:val="22"/>
          <w:szCs w:val="22"/>
        </w:rPr>
        <w:t>The inaugural-year design prioritizes academic credibility, operational feasibility, and sponsor readiness. The first year will use a national screening process followed by a single in-person National Finale in Hanoi. This structure allows VFCC to establish a clear national identity while maintaining quality control in case design, judging, and event execution. In future years, the competition may expand to a multi-region format leading to a National Finale.</w:t>
      </w:r>
    </w:p>
    <w:p w14:paraId="3E3CE98C" w14:textId="77777777" w:rsidR="00F8430A" w:rsidRDefault="00F8430A" w:rsidP="00522DB2">
      <w:pPr>
        <w:pBdr>
          <w:bottom w:val="single" w:sz="6" w:space="4" w:color="1B4F8A"/>
        </w:pBdr>
        <w:spacing w:before="340" w:after="120"/>
        <w:jc w:val="both"/>
      </w:pPr>
      <w:r>
        <w:rPr>
          <w:rFonts w:ascii="Arial" w:eastAsia="Arial" w:hAnsi="Arial" w:cs="Arial"/>
          <w:b/>
          <w:bCs/>
          <w:color w:val="1B4F8A"/>
          <w:sz w:val="26"/>
          <w:szCs w:val="26"/>
        </w:rPr>
        <w:t>2. Strategic Objectives</w:t>
      </w:r>
    </w:p>
    <w:p w14:paraId="41D87E58" w14:textId="77777777" w:rsidR="00F8430A" w:rsidRDefault="00F8430A" w:rsidP="00522DB2">
      <w:pPr>
        <w:pStyle w:val="ListParagraph"/>
        <w:numPr>
          <w:ilvl w:val="0"/>
          <w:numId w:val="1"/>
        </w:numPr>
        <w:spacing w:before="40" w:after="60"/>
        <w:contextualSpacing w:val="0"/>
        <w:jc w:val="both"/>
      </w:pPr>
      <w:r>
        <w:rPr>
          <w:rFonts w:ascii="Arial" w:eastAsia="Arial" w:hAnsi="Arial" w:cs="Arial"/>
          <w:color w:val="333333"/>
          <w:sz w:val="22"/>
          <w:szCs w:val="22"/>
        </w:rPr>
        <w:t>Develop undergraduate talent in valuation, M&amp;A analysis, transaction assessment, strategic reasoning, and professional communication.</w:t>
      </w:r>
    </w:p>
    <w:p w14:paraId="2973D1AF" w14:textId="77777777" w:rsidR="00F8430A" w:rsidRDefault="00F8430A" w:rsidP="00522DB2">
      <w:pPr>
        <w:pStyle w:val="ListParagraph"/>
        <w:numPr>
          <w:ilvl w:val="0"/>
          <w:numId w:val="1"/>
        </w:numPr>
        <w:spacing w:before="40" w:after="60"/>
        <w:contextualSpacing w:val="0"/>
        <w:jc w:val="both"/>
      </w:pPr>
      <w:r>
        <w:rPr>
          <w:rFonts w:ascii="Arial" w:eastAsia="Arial" w:hAnsi="Arial" w:cs="Arial"/>
          <w:color w:val="333333"/>
          <w:sz w:val="22"/>
          <w:szCs w:val="22"/>
        </w:rPr>
        <w:t>Provide students with hands-on experience solving a realistic board-level finance problem using a professional advisory memo format.</w:t>
      </w:r>
    </w:p>
    <w:p w14:paraId="5B3FE6A3" w14:textId="77777777" w:rsidR="00F8430A" w:rsidRDefault="00F8430A" w:rsidP="00522DB2">
      <w:pPr>
        <w:pStyle w:val="ListParagraph"/>
        <w:numPr>
          <w:ilvl w:val="0"/>
          <w:numId w:val="1"/>
        </w:numPr>
        <w:spacing w:before="40" w:after="60"/>
        <w:contextualSpacing w:val="0"/>
        <w:jc w:val="both"/>
      </w:pPr>
      <w:r>
        <w:rPr>
          <w:rFonts w:ascii="Arial" w:eastAsia="Arial" w:hAnsi="Arial" w:cs="Arial"/>
          <w:color w:val="333333"/>
          <w:sz w:val="22"/>
          <w:szCs w:val="22"/>
        </w:rPr>
        <w:t>Create a national platform connecting universities, finance professionals, and VFAI around talent development and applied finance education.</w:t>
      </w:r>
    </w:p>
    <w:p w14:paraId="3D7FE0AB" w14:textId="77777777" w:rsidR="00F8430A" w:rsidRDefault="00F8430A" w:rsidP="00522DB2">
      <w:pPr>
        <w:pStyle w:val="ListParagraph"/>
        <w:numPr>
          <w:ilvl w:val="0"/>
          <w:numId w:val="1"/>
        </w:numPr>
        <w:spacing w:before="40" w:after="60"/>
        <w:contextualSpacing w:val="0"/>
        <w:jc w:val="both"/>
      </w:pPr>
      <w:r>
        <w:rPr>
          <w:rFonts w:ascii="Arial" w:eastAsia="Arial" w:hAnsi="Arial" w:cs="Arial"/>
          <w:color w:val="333333"/>
          <w:sz w:val="22"/>
          <w:szCs w:val="22"/>
        </w:rPr>
        <w:t>Establish a credible flagship program that can be expanded in future years as participation, sponsorship, and administrative capacity grow.</w:t>
      </w:r>
    </w:p>
    <w:p w14:paraId="6DDAD7B6"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3. Competition Overview</w:t>
      </w:r>
    </w:p>
    <w:p w14:paraId="7F9247EA" w14:textId="074C0BE2" w:rsidR="00F8430A" w:rsidRDefault="00F8430A" w:rsidP="00E77C6A">
      <w:pPr>
        <w:spacing w:before="60" w:after="100"/>
        <w:jc w:val="both"/>
      </w:pPr>
      <w:r>
        <w:rPr>
          <w:rFonts w:ascii="Arial" w:eastAsia="Arial" w:hAnsi="Arial" w:cs="Arial"/>
          <w:b/>
          <w:bCs/>
          <w:color w:val="333333"/>
          <w:sz w:val="22"/>
          <w:szCs w:val="22"/>
        </w:rPr>
        <w:t xml:space="preserve">Official name: </w:t>
      </w:r>
      <w:r>
        <w:rPr>
          <w:rFonts w:ascii="Arial" w:eastAsia="Arial" w:hAnsi="Arial" w:cs="Arial"/>
          <w:color w:val="333333"/>
          <w:sz w:val="22"/>
          <w:szCs w:val="22"/>
        </w:rPr>
        <w:t xml:space="preserve">Vietnam Finance Case </w:t>
      </w:r>
      <w:r w:rsidR="00B15DA0">
        <w:rPr>
          <w:rFonts w:ascii="Arial" w:eastAsia="Arial" w:hAnsi="Arial" w:cs="Arial"/>
          <w:color w:val="333333"/>
          <w:sz w:val="22"/>
          <w:szCs w:val="22"/>
        </w:rPr>
        <w:t xml:space="preserve">Competition </w:t>
      </w:r>
      <w:r>
        <w:rPr>
          <w:rFonts w:ascii="Arial" w:eastAsia="Arial" w:hAnsi="Arial" w:cs="Arial"/>
          <w:color w:val="333333"/>
          <w:sz w:val="22"/>
          <w:szCs w:val="22"/>
        </w:rPr>
        <w:t>(VFCC).</w:t>
      </w:r>
    </w:p>
    <w:p w14:paraId="29DDE44E" w14:textId="77777777" w:rsidR="00F8430A" w:rsidRDefault="00F8430A" w:rsidP="00E77C6A">
      <w:pPr>
        <w:spacing w:before="60" w:after="100"/>
        <w:jc w:val="both"/>
      </w:pPr>
      <w:r>
        <w:rPr>
          <w:rFonts w:ascii="Arial" w:eastAsia="Arial" w:hAnsi="Arial" w:cs="Arial"/>
          <w:b/>
          <w:bCs/>
          <w:color w:val="333333"/>
          <w:sz w:val="22"/>
          <w:szCs w:val="22"/>
        </w:rPr>
        <w:t xml:space="preserve">Organizing body: </w:t>
      </w:r>
      <w:r>
        <w:rPr>
          <w:rFonts w:ascii="Arial" w:eastAsia="Arial" w:hAnsi="Arial" w:cs="Arial"/>
          <w:color w:val="333333"/>
          <w:sz w:val="22"/>
          <w:szCs w:val="22"/>
        </w:rPr>
        <w:t>Vietnam Finance Association International (VFAI).</w:t>
      </w:r>
    </w:p>
    <w:p w14:paraId="408C4766" w14:textId="77777777" w:rsidR="00F8430A" w:rsidRDefault="00F8430A" w:rsidP="00E77C6A">
      <w:pPr>
        <w:spacing w:before="60" w:after="100"/>
        <w:jc w:val="both"/>
      </w:pPr>
      <w:r>
        <w:rPr>
          <w:rFonts w:ascii="Arial" w:eastAsia="Arial" w:hAnsi="Arial" w:cs="Arial"/>
          <w:b/>
          <w:bCs/>
          <w:color w:val="333333"/>
          <w:sz w:val="22"/>
          <w:szCs w:val="22"/>
        </w:rPr>
        <w:lastRenderedPageBreak/>
        <w:t xml:space="preserve">Inaugural-year format: </w:t>
      </w:r>
      <w:r>
        <w:rPr>
          <w:rFonts w:ascii="Arial" w:eastAsia="Arial" w:hAnsi="Arial" w:cs="Arial"/>
          <w:color w:val="333333"/>
          <w:sz w:val="22"/>
          <w:szCs w:val="22"/>
        </w:rPr>
        <w:t>One national written screening round followed by a single in-person National Finale.</w:t>
      </w:r>
    </w:p>
    <w:p w14:paraId="609BDD55" w14:textId="77777777" w:rsidR="00F8430A" w:rsidRDefault="00F8430A" w:rsidP="00E77C6A">
      <w:pPr>
        <w:spacing w:before="60" w:after="100"/>
        <w:jc w:val="both"/>
      </w:pPr>
      <w:r>
        <w:rPr>
          <w:rFonts w:ascii="Arial" w:eastAsia="Arial" w:hAnsi="Arial" w:cs="Arial"/>
          <w:b/>
          <w:bCs/>
          <w:color w:val="333333"/>
          <w:sz w:val="22"/>
          <w:szCs w:val="22"/>
        </w:rPr>
        <w:t xml:space="preserve">Language: </w:t>
      </w:r>
      <w:r>
        <w:rPr>
          <w:rFonts w:ascii="Arial" w:eastAsia="Arial" w:hAnsi="Arial" w:cs="Arial"/>
          <w:color w:val="333333"/>
          <w:sz w:val="22"/>
          <w:szCs w:val="22"/>
        </w:rPr>
        <w:t>All submissions, slides, and presentations must be in English.</w:t>
      </w:r>
    </w:p>
    <w:p w14:paraId="5686F871" w14:textId="77777777" w:rsidR="00F8430A" w:rsidRDefault="00F8430A" w:rsidP="00E77C6A">
      <w:pPr>
        <w:spacing w:before="60" w:after="100"/>
        <w:jc w:val="both"/>
      </w:pPr>
      <w:r>
        <w:rPr>
          <w:rFonts w:ascii="Arial" w:eastAsia="Arial" w:hAnsi="Arial" w:cs="Arial"/>
          <w:b/>
          <w:bCs/>
          <w:color w:val="333333"/>
          <w:sz w:val="22"/>
          <w:szCs w:val="22"/>
        </w:rPr>
        <w:t xml:space="preserve">Target participants: </w:t>
      </w:r>
      <w:r>
        <w:rPr>
          <w:rFonts w:ascii="Arial" w:eastAsia="Arial" w:hAnsi="Arial" w:cs="Arial"/>
          <w:color w:val="333333"/>
          <w:sz w:val="22"/>
          <w:szCs w:val="22"/>
        </w:rPr>
        <w:t>Undergraduate students enrolled at invited universities in Vietnam.</w:t>
      </w:r>
    </w:p>
    <w:p w14:paraId="12F5FCD7" w14:textId="77777777" w:rsidR="00F8430A" w:rsidRDefault="00F8430A" w:rsidP="00E77C6A">
      <w:pPr>
        <w:spacing w:before="60" w:after="100"/>
        <w:jc w:val="both"/>
      </w:pPr>
      <w:r>
        <w:rPr>
          <w:rFonts w:ascii="Arial" w:eastAsia="Arial" w:hAnsi="Arial" w:cs="Arial"/>
          <w:b/>
          <w:bCs/>
          <w:color w:val="333333"/>
          <w:sz w:val="22"/>
          <w:szCs w:val="22"/>
        </w:rPr>
        <w:t xml:space="preserve">Inaugural-year venue: </w:t>
      </w:r>
      <w:r>
        <w:rPr>
          <w:rFonts w:ascii="Arial" w:eastAsia="Arial" w:hAnsi="Arial" w:cs="Arial"/>
          <w:color w:val="333333"/>
          <w:sz w:val="22"/>
          <w:szCs w:val="22"/>
        </w:rPr>
        <w:t xml:space="preserve">Hanoi, Vietnam. </w:t>
      </w:r>
    </w:p>
    <w:p w14:paraId="01F18C44"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4. Eligibility and Team Structure</w:t>
      </w:r>
    </w:p>
    <w:p w14:paraId="2A9EBD1C" w14:textId="77777777" w:rsidR="00F8430A" w:rsidRDefault="00F8430A" w:rsidP="00E77C6A">
      <w:pPr>
        <w:pStyle w:val="ListParagraph"/>
        <w:numPr>
          <w:ilvl w:val="0"/>
          <w:numId w:val="1"/>
        </w:numPr>
        <w:spacing w:before="40" w:after="60"/>
        <w:contextualSpacing w:val="0"/>
        <w:jc w:val="both"/>
      </w:pPr>
      <w:r>
        <w:rPr>
          <w:rFonts w:ascii="Arial" w:eastAsia="Arial" w:hAnsi="Arial" w:cs="Arial"/>
          <w:color w:val="333333"/>
          <w:sz w:val="22"/>
          <w:szCs w:val="22"/>
        </w:rPr>
        <w:t>Participants must be currently enrolled undergraduate students at an invited partner university.</w:t>
      </w:r>
    </w:p>
    <w:p w14:paraId="26C99BB0" w14:textId="77777777" w:rsidR="00F8430A" w:rsidRDefault="00F8430A" w:rsidP="00E77C6A">
      <w:pPr>
        <w:pStyle w:val="ListParagraph"/>
        <w:numPr>
          <w:ilvl w:val="0"/>
          <w:numId w:val="1"/>
        </w:numPr>
        <w:spacing w:before="40" w:after="60"/>
        <w:contextualSpacing w:val="0"/>
        <w:jc w:val="both"/>
      </w:pPr>
      <w:r>
        <w:rPr>
          <w:rFonts w:ascii="Arial" w:eastAsia="Arial" w:hAnsi="Arial" w:cs="Arial"/>
          <w:color w:val="333333"/>
          <w:sz w:val="22"/>
          <w:szCs w:val="22"/>
        </w:rPr>
        <w:t>Each team consists of exactly 4 undergraduate students from the same university.</w:t>
      </w:r>
    </w:p>
    <w:p w14:paraId="1F66887B" w14:textId="1D0AE397" w:rsidR="00F8430A" w:rsidRDefault="00F8430A" w:rsidP="00E77C6A">
      <w:pPr>
        <w:pStyle w:val="ListParagraph"/>
        <w:numPr>
          <w:ilvl w:val="0"/>
          <w:numId w:val="1"/>
        </w:numPr>
        <w:spacing w:before="40" w:after="60"/>
        <w:contextualSpacing w:val="0"/>
        <w:jc w:val="both"/>
      </w:pPr>
      <w:r>
        <w:rPr>
          <w:rFonts w:ascii="Arial" w:eastAsia="Arial" w:hAnsi="Arial" w:cs="Arial"/>
          <w:color w:val="333333"/>
          <w:sz w:val="22"/>
          <w:szCs w:val="22"/>
        </w:rPr>
        <w:t xml:space="preserve">Each university may register up to </w:t>
      </w:r>
      <w:r w:rsidR="007C6B2B">
        <w:rPr>
          <w:rFonts w:ascii="Arial" w:eastAsia="Arial" w:hAnsi="Arial" w:cs="Arial"/>
          <w:color w:val="333333"/>
          <w:sz w:val="22"/>
          <w:szCs w:val="22"/>
        </w:rPr>
        <w:t>3</w:t>
      </w:r>
      <w:r>
        <w:rPr>
          <w:rFonts w:ascii="Arial" w:eastAsia="Arial" w:hAnsi="Arial" w:cs="Arial"/>
          <w:color w:val="333333"/>
          <w:sz w:val="22"/>
          <w:szCs w:val="22"/>
        </w:rPr>
        <w:t xml:space="preserve"> teams.</w:t>
      </w:r>
    </w:p>
    <w:p w14:paraId="3B8E8C7C" w14:textId="77777777" w:rsidR="00F8430A" w:rsidRDefault="00F8430A" w:rsidP="00E77C6A">
      <w:pPr>
        <w:pStyle w:val="ListParagraph"/>
        <w:numPr>
          <w:ilvl w:val="0"/>
          <w:numId w:val="1"/>
        </w:numPr>
        <w:spacing w:before="40" w:after="60"/>
        <w:contextualSpacing w:val="0"/>
        <w:jc w:val="both"/>
      </w:pPr>
      <w:r>
        <w:rPr>
          <w:rFonts w:ascii="Arial" w:eastAsia="Arial" w:hAnsi="Arial" w:cs="Arial"/>
          <w:color w:val="333333"/>
          <w:sz w:val="22"/>
          <w:szCs w:val="22"/>
        </w:rPr>
        <w:t>Each university must appoint at least one faculty advisor; one advisor may support multiple teams from the same institution.</w:t>
      </w:r>
    </w:p>
    <w:p w14:paraId="66B0348E" w14:textId="77777777" w:rsidR="00F8430A" w:rsidRDefault="00F8430A" w:rsidP="00E77C6A">
      <w:pPr>
        <w:pStyle w:val="ListParagraph"/>
        <w:numPr>
          <w:ilvl w:val="0"/>
          <w:numId w:val="1"/>
        </w:numPr>
        <w:spacing w:before="40" w:after="60"/>
        <w:contextualSpacing w:val="0"/>
        <w:jc w:val="both"/>
      </w:pPr>
      <w:r>
        <w:rPr>
          <w:rFonts w:ascii="Arial" w:eastAsia="Arial" w:hAnsi="Arial" w:cs="Arial"/>
          <w:color w:val="333333"/>
          <w:sz w:val="22"/>
          <w:szCs w:val="22"/>
        </w:rPr>
        <w:t>Teams may not include graduate students, alumni, or individuals employed full-time in finance or consulting roles.</w:t>
      </w:r>
    </w:p>
    <w:p w14:paraId="10DD1EAE"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5. Inaugural-Year Timeline</w:t>
      </w:r>
    </w:p>
    <w:p w14:paraId="0DEEACB1" w14:textId="77777777" w:rsidR="00F8430A" w:rsidRDefault="00F8430A" w:rsidP="00F843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8430A" w14:paraId="27D01B0A" w14:textId="77777777" w:rsidTr="00A77441">
        <w:trPr>
          <w:tblHeader/>
        </w:trPr>
        <w:tc>
          <w:tcPr>
            <w:tcW w:w="2500" w:type="dxa"/>
            <w:shd w:val="clear" w:color="auto" w:fill="1B4F8A"/>
            <w:tcMar>
              <w:top w:w="80" w:type="dxa"/>
              <w:left w:w="140" w:type="dxa"/>
              <w:bottom w:w="80" w:type="dxa"/>
              <w:right w:w="140" w:type="dxa"/>
            </w:tcMar>
          </w:tcPr>
          <w:p w14:paraId="1863AD9D" w14:textId="77777777" w:rsidR="00F8430A" w:rsidRDefault="00F8430A" w:rsidP="00A77441">
            <w:r>
              <w:rPr>
                <w:rFonts w:ascii="Arial" w:eastAsia="Arial" w:hAnsi="Arial" w:cs="Arial"/>
                <w:b/>
                <w:bCs/>
                <w:color w:val="FFFFFF"/>
              </w:rPr>
              <w:t>Period</w:t>
            </w:r>
          </w:p>
        </w:tc>
        <w:tc>
          <w:tcPr>
            <w:tcW w:w="6860" w:type="dxa"/>
            <w:shd w:val="clear" w:color="auto" w:fill="1B4F8A"/>
            <w:tcMar>
              <w:top w:w="80" w:type="dxa"/>
              <w:left w:w="140" w:type="dxa"/>
              <w:bottom w:w="80" w:type="dxa"/>
              <w:right w:w="140" w:type="dxa"/>
            </w:tcMar>
          </w:tcPr>
          <w:p w14:paraId="43081310" w14:textId="77777777" w:rsidR="00F8430A" w:rsidRDefault="00F8430A" w:rsidP="00A77441">
            <w:r>
              <w:rPr>
                <w:rFonts w:ascii="Arial" w:eastAsia="Arial" w:hAnsi="Arial" w:cs="Arial"/>
                <w:b/>
                <w:bCs/>
                <w:color w:val="FFFFFF"/>
              </w:rPr>
              <w:t>Activity</w:t>
            </w:r>
          </w:p>
        </w:tc>
      </w:tr>
      <w:tr w:rsidR="00F8430A" w14:paraId="6BE0E595" w14:textId="77777777" w:rsidTr="00A77441">
        <w:tc>
          <w:tcPr>
            <w:tcW w:w="2500" w:type="dxa"/>
            <w:tcBorders>
              <w:top w:val="single" w:sz="1" w:space="0" w:color="CCCCCC"/>
              <w:bottom w:val="single" w:sz="1" w:space="0" w:color="CCCCCC"/>
            </w:tcBorders>
            <w:shd w:val="clear" w:color="auto" w:fill="EAF2FB"/>
            <w:tcMar>
              <w:top w:w="80" w:type="dxa"/>
              <w:left w:w="140" w:type="dxa"/>
              <w:bottom w:w="80" w:type="dxa"/>
              <w:right w:w="140" w:type="dxa"/>
            </w:tcMar>
          </w:tcPr>
          <w:p w14:paraId="75AA1A62" w14:textId="77777777" w:rsidR="00F8430A" w:rsidRDefault="00F8430A" w:rsidP="00A77441">
            <w:pPr>
              <w:rPr>
                <w:rFonts w:ascii="Arial" w:eastAsia="Arial" w:hAnsi="Arial" w:cs="Arial"/>
                <w:b/>
                <w:bCs/>
                <w:color w:val="333333"/>
              </w:rPr>
            </w:pPr>
            <w:r>
              <w:rPr>
                <w:rFonts w:ascii="Arial" w:eastAsia="Arial" w:hAnsi="Arial" w:cs="Arial"/>
                <w:b/>
                <w:bCs/>
                <w:color w:val="333333"/>
              </w:rPr>
              <w:t>May-July 2026</w:t>
            </w:r>
          </w:p>
        </w:tc>
        <w:tc>
          <w:tcPr>
            <w:tcW w:w="6860" w:type="dxa"/>
            <w:tcBorders>
              <w:top w:val="single" w:sz="1" w:space="0" w:color="CCCCCC"/>
              <w:bottom w:val="single" w:sz="1" w:space="0" w:color="CCCCCC"/>
            </w:tcBorders>
            <w:shd w:val="clear" w:color="auto" w:fill="EAF2FB"/>
            <w:tcMar>
              <w:top w:w="80" w:type="dxa"/>
              <w:left w:w="140" w:type="dxa"/>
              <w:bottom w:w="80" w:type="dxa"/>
              <w:right w:w="140" w:type="dxa"/>
            </w:tcMar>
          </w:tcPr>
          <w:p w14:paraId="19C313F2" w14:textId="77777777" w:rsidR="00F8430A" w:rsidRDefault="00F8430A" w:rsidP="00A77441">
            <w:pPr>
              <w:rPr>
                <w:rFonts w:ascii="Arial" w:eastAsia="Arial" w:hAnsi="Arial" w:cs="Arial"/>
                <w:color w:val="333333"/>
              </w:rPr>
            </w:pPr>
            <w:r>
              <w:rPr>
                <w:rFonts w:ascii="Arial" w:eastAsia="Arial" w:hAnsi="Arial" w:cs="Arial"/>
                <w:color w:val="333333"/>
              </w:rPr>
              <w:t>University invitations. Memorandum of Understanding (MOU) signing</w:t>
            </w:r>
          </w:p>
        </w:tc>
      </w:tr>
      <w:tr w:rsidR="00F8430A" w14:paraId="585F86C2" w14:textId="77777777" w:rsidTr="00A77441">
        <w:tc>
          <w:tcPr>
            <w:tcW w:w="2500" w:type="dxa"/>
            <w:tcBorders>
              <w:top w:val="single" w:sz="1" w:space="0" w:color="CCCCCC"/>
              <w:bottom w:val="single" w:sz="1" w:space="0" w:color="CCCCCC"/>
            </w:tcBorders>
            <w:shd w:val="clear" w:color="auto" w:fill="EAF2FB"/>
            <w:tcMar>
              <w:top w:w="80" w:type="dxa"/>
              <w:left w:w="140" w:type="dxa"/>
              <w:bottom w:w="80" w:type="dxa"/>
              <w:right w:w="140" w:type="dxa"/>
            </w:tcMar>
          </w:tcPr>
          <w:p w14:paraId="2DD46796" w14:textId="77777777" w:rsidR="00F8430A" w:rsidRDefault="00F8430A" w:rsidP="00A77441">
            <w:r>
              <w:rPr>
                <w:rFonts w:ascii="Arial" w:eastAsia="Arial" w:hAnsi="Arial" w:cs="Arial"/>
                <w:b/>
                <w:bCs/>
                <w:color w:val="333333"/>
              </w:rPr>
              <w:t>September 2026</w:t>
            </w:r>
          </w:p>
        </w:tc>
        <w:tc>
          <w:tcPr>
            <w:tcW w:w="6860" w:type="dxa"/>
            <w:tcBorders>
              <w:top w:val="single" w:sz="1" w:space="0" w:color="CCCCCC"/>
              <w:bottom w:val="single" w:sz="1" w:space="0" w:color="CCCCCC"/>
            </w:tcBorders>
            <w:shd w:val="clear" w:color="auto" w:fill="EAF2FB"/>
            <w:tcMar>
              <w:top w:w="80" w:type="dxa"/>
              <w:left w:w="140" w:type="dxa"/>
              <w:bottom w:w="80" w:type="dxa"/>
              <w:right w:w="140" w:type="dxa"/>
            </w:tcMar>
          </w:tcPr>
          <w:p w14:paraId="4896B30B" w14:textId="77777777" w:rsidR="00F8430A" w:rsidRDefault="00F8430A" w:rsidP="00A77441">
            <w:r>
              <w:rPr>
                <w:rFonts w:ascii="Arial" w:eastAsia="Arial" w:hAnsi="Arial" w:cs="Arial"/>
                <w:color w:val="333333"/>
              </w:rPr>
              <w:t>Competition launch and team registration</w:t>
            </w:r>
          </w:p>
        </w:tc>
      </w:tr>
      <w:tr w:rsidR="00F8430A" w14:paraId="5877BD93" w14:textId="77777777" w:rsidTr="00A77441">
        <w:tc>
          <w:tcPr>
            <w:tcW w:w="2500" w:type="dxa"/>
            <w:tcBorders>
              <w:top w:val="single" w:sz="1" w:space="0" w:color="CCCCCC"/>
              <w:bottom w:val="single" w:sz="1" w:space="0" w:color="CCCCCC"/>
            </w:tcBorders>
            <w:shd w:val="clear" w:color="auto" w:fill="FFFFFF"/>
            <w:tcMar>
              <w:top w:w="80" w:type="dxa"/>
              <w:left w:w="140" w:type="dxa"/>
              <w:bottom w:w="80" w:type="dxa"/>
              <w:right w:w="140" w:type="dxa"/>
            </w:tcMar>
          </w:tcPr>
          <w:p w14:paraId="63C1B18B" w14:textId="7E5DAA4D" w:rsidR="00F8430A" w:rsidRDefault="00F8430A" w:rsidP="00A77441">
            <w:r>
              <w:rPr>
                <w:rFonts w:ascii="Arial" w:eastAsia="Arial" w:hAnsi="Arial" w:cs="Arial"/>
                <w:b/>
                <w:bCs/>
                <w:color w:val="333333"/>
              </w:rPr>
              <w:t>October 2026</w:t>
            </w:r>
          </w:p>
        </w:tc>
        <w:tc>
          <w:tcPr>
            <w:tcW w:w="6860" w:type="dxa"/>
            <w:tcBorders>
              <w:top w:val="single" w:sz="1" w:space="0" w:color="CCCCCC"/>
              <w:bottom w:val="single" w:sz="1" w:space="0" w:color="CCCCCC"/>
            </w:tcBorders>
            <w:shd w:val="clear" w:color="auto" w:fill="FFFFFF"/>
            <w:tcMar>
              <w:top w:w="80" w:type="dxa"/>
              <w:left w:w="140" w:type="dxa"/>
              <w:bottom w:w="80" w:type="dxa"/>
              <w:right w:w="140" w:type="dxa"/>
            </w:tcMar>
          </w:tcPr>
          <w:p w14:paraId="18C4FF02" w14:textId="77777777" w:rsidR="00F8430A" w:rsidRDefault="00F8430A" w:rsidP="00A77441">
            <w:r>
              <w:rPr>
                <w:rFonts w:ascii="Arial" w:eastAsia="Arial" w:hAnsi="Arial" w:cs="Arial"/>
                <w:color w:val="333333"/>
              </w:rPr>
              <w:t>Workshop series: M&amp;A process, valuation, advisory memo writing, presentation</w:t>
            </w:r>
          </w:p>
        </w:tc>
      </w:tr>
      <w:tr w:rsidR="00F8430A" w14:paraId="04CE52FE" w14:textId="77777777" w:rsidTr="00A77441">
        <w:tc>
          <w:tcPr>
            <w:tcW w:w="2500" w:type="dxa"/>
            <w:tcBorders>
              <w:top w:val="single" w:sz="1" w:space="0" w:color="CCCCCC"/>
              <w:bottom w:val="single" w:sz="1" w:space="0" w:color="CCCCCC"/>
            </w:tcBorders>
            <w:shd w:val="clear" w:color="auto" w:fill="EAF2FB"/>
            <w:tcMar>
              <w:top w:w="80" w:type="dxa"/>
              <w:left w:w="140" w:type="dxa"/>
              <w:bottom w:w="80" w:type="dxa"/>
              <w:right w:w="140" w:type="dxa"/>
            </w:tcMar>
          </w:tcPr>
          <w:p w14:paraId="04B0A60B" w14:textId="3A888A17" w:rsidR="00F8430A" w:rsidRDefault="00EF5736" w:rsidP="00A77441">
            <w:r>
              <w:rPr>
                <w:rFonts w:ascii="Arial" w:eastAsia="Arial" w:hAnsi="Arial" w:cs="Arial"/>
                <w:b/>
                <w:bCs/>
                <w:color w:val="333333"/>
              </w:rPr>
              <w:t>November</w:t>
            </w:r>
            <w:r w:rsidR="00F8430A">
              <w:rPr>
                <w:rFonts w:ascii="Arial" w:eastAsia="Arial" w:hAnsi="Arial" w:cs="Arial"/>
                <w:b/>
                <w:bCs/>
                <w:color w:val="333333"/>
              </w:rPr>
              <w:t xml:space="preserve"> 2026</w:t>
            </w:r>
          </w:p>
        </w:tc>
        <w:tc>
          <w:tcPr>
            <w:tcW w:w="6860" w:type="dxa"/>
            <w:tcBorders>
              <w:top w:val="single" w:sz="1" w:space="0" w:color="CCCCCC"/>
              <w:bottom w:val="single" w:sz="1" w:space="0" w:color="CCCCCC"/>
            </w:tcBorders>
            <w:shd w:val="clear" w:color="auto" w:fill="EAF2FB"/>
            <w:tcMar>
              <w:top w:w="80" w:type="dxa"/>
              <w:left w:w="140" w:type="dxa"/>
              <w:bottom w:w="80" w:type="dxa"/>
              <w:right w:w="140" w:type="dxa"/>
            </w:tcMar>
          </w:tcPr>
          <w:p w14:paraId="07DEAE38" w14:textId="0260B963" w:rsidR="00F8430A" w:rsidRDefault="00F8430A" w:rsidP="00A77441">
            <w:r>
              <w:rPr>
                <w:rFonts w:ascii="Arial" w:eastAsia="Arial" w:hAnsi="Arial" w:cs="Arial"/>
                <w:color w:val="333333"/>
              </w:rPr>
              <w:t>Case release and written submission window</w:t>
            </w:r>
          </w:p>
        </w:tc>
      </w:tr>
      <w:tr w:rsidR="00F8430A" w14:paraId="7AA86ED7" w14:textId="77777777" w:rsidTr="00A77441">
        <w:tc>
          <w:tcPr>
            <w:tcW w:w="2500" w:type="dxa"/>
            <w:tcBorders>
              <w:top w:val="single" w:sz="1" w:space="0" w:color="CCCCCC"/>
              <w:bottom w:val="single" w:sz="1" w:space="0" w:color="CCCCCC"/>
            </w:tcBorders>
            <w:shd w:val="clear" w:color="auto" w:fill="FFFFFF"/>
            <w:tcMar>
              <w:top w:w="80" w:type="dxa"/>
              <w:left w:w="140" w:type="dxa"/>
              <w:bottom w:w="80" w:type="dxa"/>
              <w:right w:w="140" w:type="dxa"/>
            </w:tcMar>
          </w:tcPr>
          <w:p w14:paraId="7A529A09" w14:textId="3CF1A29B" w:rsidR="00F8430A" w:rsidRDefault="00EF5736" w:rsidP="00A77441">
            <w:r>
              <w:rPr>
                <w:rFonts w:ascii="Arial" w:eastAsia="Arial" w:hAnsi="Arial" w:cs="Arial"/>
                <w:b/>
                <w:bCs/>
                <w:color w:val="333333"/>
              </w:rPr>
              <w:t>Mid</w:t>
            </w:r>
            <w:r w:rsidR="00F8430A">
              <w:rPr>
                <w:rFonts w:ascii="Arial" w:eastAsia="Arial" w:hAnsi="Arial" w:cs="Arial"/>
                <w:b/>
                <w:bCs/>
                <w:color w:val="333333"/>
              </w:rPr>
              <w:t xml:space="preserve"> </w:t>
            </w:r>
            <w:r>
              <w:rPr>
                <w:rFonts w:ascii="Arial" w:eastAsia="Arial" w:hAnsi="Arial" w:cs="Arial"/>
                <w:b/>
                <w:bCs/>
                <w:color w:val="333333"/>
              </w:rPr>
              <w:t>December 2026</w:t>
            </w:r>
          </w:p>
        </w:tc>
        <w:tc>
          <w:tcPr>
            <w:tcW w:w="6860" w:type="dxa"/>
            <w:tcBorders>
              <w:top w:val="single" w:sz="1" w:space="0" w:color="CCCCCC"/>
              <w:bottom w:val="single" w:sz="1" w:space="0" w:color="CCCCCC"/>
            </w:tcBorders>
            <w:shd w:val="clear" w:color="auto" w:fill="FFFFFF"/>
            <w:tcMar>
              <w:top w:w="80" w:type="dxa"/>
              <w:left w:w="140" w:type="dxa"/>
              <w:bottom w:w="80" w:type="dxa"/>
              <w:right w:w="140" w:type="dxa"/>
            </w:tcMar>
          </w:tcPr>
          <w:p w14:paraId="4DEC3B36" w14:textId="77777777" w:rsidR="00F8430A" w:rsidRDefault="00F8430A" w:rsidP="00A77441">
            <w:r>
              <w:rPr>
                <w:rFonts w:ascii="Arial" w:eastAsia="Arial" w:hAnsi="Arial" w:cs="Arial"/>
                <w:color w:val="333333"/>
              </w:rPr>
              <w:t>In-person National Finale in Hanoi. Awards</w:t>
            </w:r>
          </w:p>
        </w:tc>
      </w:tr>
      <w:tr w:rsidR="00F8430A" w14:paraId="3C836C8F" w14:textId="77777777" w:rsidTr="00A77441">
        <w:tc>
          <w:tcPr>
            <w:tcW w:w="2500" w:type="dxa"/>
            <w:tcBorders>
              <w:top w:val="single" w:sz="1" w:space="0" w:color="CCCCCC"/>
              <w:bottom w:val="single" w:sz="1" w:space="0" w:color="CCCCCC"/>
            </w:tcBorders>
            <w:shd w:val="clear" w:color="auto" w:fill="EAF2FB"/>
            <w:tcMar>
              <w:top w:w="80" w:type="dxa"/>
              <w:left w:w="140" w:type="dxa"/>
              <w:bottom w:w="80" w:type="dxa"/>
              <w:right w:w="140" w:type="dxa"/>
            </w:tcMar>
          </w:tcPr>
          <w:p w14:paraId="2AB12159" w14:textId="77777777" w:rsidR="00F8430A" w:rsidRDefault="00F8430A" w:rsidP="00A77441">
            <w:r>
              <w:rPr>
                <w:rFonts w:ascii="Arial" w:eastAsia="Arial" w:hAnsi="Arial" w:cs="Arial"/>
                <w:b/>
                <w:bCs/>
                <w:color w:val="333333"/>
              </w:rPr>
              <w:t>Post-event</w:t>
            </w:r>
          </w:p>
        </w:tc>
        <w:tc>
          <w:tcPr>
            <w:tcW w:w="6860" w:type="dxa"/>
            <w:tcBorders>
              <w:top w:val="single" w:sz="1" w:space="0" w:color="CCCCCC"/>
              <w:bottom w:val="single" w:sz="1" w:space="0" w:color="CCCCCC"/>
            </w:tcBorders>
            <w:shd w:val="clear" w:color="auto" w:fill="EAF2FB"/>
            <w:tcMar>
              <w:top w:w="80" w:type="dxa"/>
              <w:left w:w="140" w:type="dxa"/>
              <w:bottom w:w="80" w:type="dxa"/>
              <w:right w:w="140" w:type="dxa"/>
            </w:tcMar>
          </w:tcPr>
          <w:p w14:paraId="685914E4" w14:textId="77777777" w:rsidR="00F8430A" w:rsidRDefault="00F8430A" w:rsidP="00A77441">
            <w:r>
              <w:rPr>
                <w:rFonts w:ascii="Arial" w:eastAsia="Arial" w:hAnsi="Arial" w:cs="Arial"/>
                <w:color w:val="333333"/>
              </w:rPr>
              <w:t>Inaugural-year review</w:t>
            </w:r>
          </w:p>
        </w:tc>
      </w:tr>
    </w:tbl>
    <w:p w14:paraId="29E3FBC4"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6. Competition Format — Four Stages</w:t>
      </w:r>
    </w:p>
    <w:p w14:paraId="2A3E5011" w14:textId="77777777" w:rsidR="00F8430A" w:rsidRDefault="00F8430A" w:rsidP="00E77C6A">
      <w:pPr>
        <w:spacing w:before="200" w:after="80"/>
        <w:jc w:val="both"/>
      </w:pPr>
      <w:r>
        <w:rPr>
          <w:rFonts w:ascii="Arial" w:eastAsia="Arial" w:hAnsi="Arial" w:cs="Arial"/>
          <w:b/>
          <w:bCs/>
          <w:color w:val="1A1A1A"/>
          <w:sz w:val="23"/>
          <w:szCs w:val="23"/>
        </w:rPr>
        <w:t>Stage 1 — Launch (September 2026)</w:t>
      </w:r>
    </w:p>
    <w:p w14:paraId="3392690E" w14:textId="77777777" w:rsidR="00F8430A" w:rsidRDefault="00F8430A" w:rsidP="00E77C6A">
      <w:pPr>
        <w:spacing w:before="60" w:after="100"/>
        <w:jc w:val="both"/>
      </w:pPr>
      <w:r>
        <w:rPr>
          <w:rFonts w:ascii="Arial" w:eastAsia="Arial" w:hAnsi="Arial" w:cs="Arial"/>
          <w:color w:val="333333"/>
          <w:sz w:val="22"/>
          <w:szCs w:val="22"/>
        </w:rPr>
        <w:t>Official competition announcement, opening of the registration portal, and confirmation of all participating partner universities and teams.</w:t>
      </w:r>
    </w:p>
    <w:p w14:paraId="12D4FF80" w14:textId="1CF7F904" w:rsidR="00F8430A" w:rsidRDefault="00F8430A" w:rsidP="00E77C6A">
      <w:pPr>
        <w:spacing w:before="200" w:after="80"/>
        <w:jc w:val="both"/>
      </w:pPr>
      <w:r>
        <w:rPr>
          <w:rFonts w:ascii="Arial" w:eastAsia="Arial" w:hAnsi="Arial" w:cs="Arial"/>
          <w:b/>
          <w:bCs/>
          <w:color w:val="1A1A1A"/>
          <w:sz w:val="23"/>
          <w:szCs w:val="23"/>
        </w:rPr>
        <w:t>Stage 2 — Training Workshops (October 2026)</w:t>
      </w:r>
    </w:p>
    <w:p w14:paraId="105A9AEF" w14:textId="77777777" w:rsidR="00F8430A" w:rsidRDefault="00F8430A" w:rsidP="00E77C6A">
      <w:pPr>
        <w:spacing w:before="60" w:after="100"/>
        <w:jc w:val="both"/>
      </w:pPr>
      <w:r>
        <w:rPr>
          <w:rFonts w:ascii="Arial" w:eastAsia="Arial" w:hAnsi="Arial" w:cs="Arial"/>
          <w:color w:val="333333"/>
          <w:sz w:val="22"/>
          <w:szCs w:val="22"/>
        </w:rPr>
        <w:t>VFAI will organize an optional open workshop series via Zoom for all registered participants. Planned topics include: M&amp;A process and deal logic; valuation and financial modelling; synergies, financing, and deal structure; how to write a professional advisory memo; and presentation and Q&amp;A defense skills.</w:t>
      </w:r>
    </w:p>
    <w:p w14:paraId="7EF67699" w14:textId="5CD290EE" w:rsidR="00F8430A" w:rsidRDefault="00F8430A" w:rsidP="00E77C6A">
      <w:pPr>
        <w:spacing w:before="200" w:after="80"/>
        <w:jc w:val="both"/>
      </w:pPr>
      <w:r>
        <w:rPr>
          <w:rFonts w:ascii="Arial" w:eastAsia="Arial" w:hAnsi="Arial" w:cs="Arial"/>
          <w:b/>
          <w:bCs/>
          <w:color w:val="1A1A1A"/>
          <w:sz w:val="23"/>
          <w:szCs w:val="23"/>
        </w:rPr>
        <w:t>Stage 3 — Written Screening Round (</w:t>
      </w:r>
      <w:r w:rsidR="00EF5736">
        <w:rPr>
          <w:rFonts w:ascii="Arial" w:eastAsia="Arial" w:hAnsi="Arial" w:cs="Arial"/>
          <w:b/>
          <w:bCs/>
          <w:color w:val="1A1A1A"/>
          <w:sz w:val="23"/>
          <w:szCs w:val="23"/>
        </w:rPr>
        <w:t>November</w:t>
      </w:r>
      <w:r>
        <w:rPr>
          <w:rFonts w:ascii="Arial" w:eastAsia="Arial" w:hAnsi="Arial" w:cs="Arial"/>
          <w:b/>
          <w:bCs/>
          <w:color w:val="1A1A1A"/>
          <w:sz w:val="23"/>
          <w:szCs w:val="23"/>
        </w:rPr>
        <w:t xml:space="preserve"> 2026)</w:t>
      </w:r>
    </w:p>
    <w:p w14:paraId="5030B920" w14:textId="77777777" w:rsidR="00F8430A" w:rsidRDefault="00F8430A" w:rsidP="00E77C6A">
      <w:pPr>
        <w:spacing w:before="60" w:after="100"/>
        <w:jc w:val="both"/>
      </w:pPr>
      <w:r>
        <w:rPr>
          <w:rFonts w:ascii="Arial" w:eastAsia="Arial" w:hAnsi="Arial" w:cs="Arial"/>
          <w:color w:val="333333"/>
          <w:sz w:val="22"/>
          <w:szCs w:val="22"/>
        </w:rPr>
        <w:t>Teams receive the official case packet and have two weeks to submit: (i) a PDF advisory recommendation memo of 12–15 pages (excluding the cover page and appendices of up to 10 pages), and (ii) a supporting Excel valuation model. All submissions undergo blind review by at least two judges. The top six to eight teams are invited to the National Finale.</w:t>
      </w:r>
    </w:p>
    <w:p w14:paraId="783AF00A" w14:textId="3254E056" w:rsidR="00F8430A" w:rsidRDefault="00F8430A" w:rsidP="00F8430A">
      <w:pPr>
        <w:spacing w:before="200" w:after="80"/>
      </w:pPr>
      <w:r>
        <w:rPr>
          <w:rFonts w:ascii="Arial" w:eastAsia="Arial" w:hAnsi="Arial" w:cs="Arial"/>
          <w:b/>
          <w:bCs/>
          <w:color w:val="1A1A1A"/>
          <w:sz w:val="23"/>
          <w:szCs w:val="23"/>
        </w:rPr>
        <w:t>Stage 4 — National Finale (</w:t>
      </w:r>
      <w:r w:rsidR="00EF5736">
        <w:rPr>
          <w:rFonts w:ascii="Arial" w:eastAsia="Arial" w:hAnsi="Arial" w:cs="Arial"/>
          <w:b/>
          <w:bCs/>
          <w:color w:val="1A1A1A"/>
          <w:sz w:val="23"/>
          <w:szCs w:val="23"/>
        </w:rPr>
        <w:t>Mid December</w:t>
      </w:r>
      <w:r>
        <w:rPr>
          <w:rFonts w:ascii="Arial" w:eastAsia="Arial" w:hAnsi="Arial" w:cs="Arial"/>
          <w:b/>
          <w:bCs/>
          <w:color w:val="1A1A1A"/>
          <w:sz w:val="23"/>
          <w:szCs w:val="23"/>
        </w:rPr>
        <w:t xml:space="preserve"> 202</w:t>
      </w:r>
      <w:r w:rsidR="00EF5736">
        <w:rPr>
          <w:rFonts w:ascii="Arial" w:eastAsia="Arial" w:hAnsi="Arial" w:cs="Arial"/>
          <w:b/>
          <w:bCs/>
          <w:color w:val="1A1A1A"/>
          <w:sz w:val="23"/>
          <w:szCs w:val="23"/>
        </w:rPr>
        <w:t>6</w:t>
      </w:r>
      <w:r>
        <w:rPr>
          <w:rFonts w:ascii="Arial" w:eastAsia="Arial" w:hAnsi="Arial" w:cs="Arial"/>
          <w:b/>
          <w:bCs/>
          <w:color w:val="1A1A1A"/>
          <w:sz w:val="23"/>
          <w:szCs w:val="23"/>
        </w:rPr>
        <w:t>, Hanoi)</w:t>
      </w:r>
    </w:p>
    <w:p w14:paraId="0817B3A9" w14:textId="77777777" w:rsidR="00F8430A" w:rsidRDefault="00F8430A" w:rsidP="00E77C6A">
      <w:pPr>
        <w:spacing w:before="60" w:after="100"/>
        <w:jc w:val="both"/>
      </w:pPr>
      <w:r>
        <w:rPr>
          <w:rFonts w:ascii="Arial" w:eastAsia="Arial" w:hAnsi="Arial" w:cs="Arial"/>
          <w:color w:val="333333"/>
          <w:sz w:val="22"/>
          <w:szCs w:val="22"/>
        </w:rPr>
        <w:lastRenderedPageBreak/>
        <w:t>Finalist teams present in person in Hanoi. Each team has 15 minutes for their presentation and 15 minutes for Q&amp;A with the judging panel. Judges select the Champion, 1st Runner-up, and 2nd Runner-up. Participating universities will normally bear travel and accommodation costs for their finalist teams.</w:t>
      </w:r>
    </w:p>
    <w:p w14:paraId="10540FF9"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7. Judging and Evaluation</w:t>
      </w:r>
    </w:p>
    <w:p w14:paraId="7F11B9DA" w14:textId="7FF83082" w:rsidR="00DE2836" w:rsidRPr="00E77C6A" w:rsidRDefault="00DE2836" w:rsidP="00F8430A">
      <w:pPr>
        <w:spacing w:before="60" w:after="100"/>
        <w:rPr>
          <w:rFonts w:ascii="Arial" w:eastAsia="Arial" w:hAnsi="Arial" w:cs="Arial"/>
          <w:b/>
          <w:bCs/>
          <w:color w:val="333333"/>
          <w:sz w:val="23"/>
          <w:szCs w:val="23"/>
        </w:rPr>
      </w:pPr>
      <w:r w:rsidRPr="00E77C6A">
        <w:rPr>
          <w:rFonts w:ascii="Arial" w:eastAsia="Arial" w:hAnsi="Arial" w:cs="Arial"/>
          <w:b/>
          <w:bCs/>
          <w:color w:val="333333"/>
          <w:sz w:val="23"/>
          <w:szCs w:val="23"/>
        </w:rPr>
        <w:t>Written Report Evaluation</w:t>
      </w:r>
    </w:p>
    <w:p w14:paraId="03F57211" w14:textId="1CA751E8" w:rsidR="00F8430A" w:rsidRDefault="00F8430A" w:rsidP="00E77C6A">
      <w:pPr>
        <w:spacing w:before="60" w:after="100"/>
        <w:jc w:val="both"/>
      </w:pPr>
      <w:r>
        <w:rPr>
          <w:rFonts w:ascii="Arial" w:eastAsia="Arial" w:hAnsi="Arial" w:cs="Arial"/>
          <w:color w:val="333333"/>
          <w:sz w:val="22"/>
          <w:szCs w:val="22"/>
        </w:rPr>
        <w:t xml:space="preserve">Written submissions are evaluated through blind review, with university names removed from judging copies wherever feasible. Each submission is assessed by at least two judges; a third judge is appointed if scores differ by more than </w:t>
      </w:r>
      <w:r w:rsidR="0028606E">
        <w:rPr>
          <w:rFonts w:ascii="Arial" w:eastAsia="Arial" w:hAnsi="Arial" w:cs="Arial"/>
          <w:color w:val="333333"/>
          <w:sz w:val="22"/>
          <w:szCs w:val="22"/>
        </w:rPr>
        <w:t>10</w:t>
      </w:r>
      <w:r>
        <w:rPr>
          <w:rFonts w:ascii="Arial" w:eastAsia="Arial" w:hAnsi="Arial" w:cs="Arial"/>
          <w:color w:val="333333"/>
          <w:sz w:val="22"/>
          <w:szCs w:val="22"/>
        </w:rPr>
        <w:t xml:space="preserve"> points out of 100. The final-round judging panel will be mixed but industry-leaning, combining finance practitioners with academic reviewers.</w:t>
      </w:r>
    </w:p>
    <w:p w14:paraId="7A25A8E6" w14:textId="77777777" w:rsidR="00F8430A" w:rsidRDefault="00F8430A" w:rsidP="00F843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5"/>
        <w:gridCol w:w="1009"/>
        <w:gridCol w:w="5396"/>
      </w:tblGrid>
      <w:tr w:rsidR="00F8430A" w14:paraId="6E6D9758" w14:textId="77777777" w:rsidTr="00E77C6A">
        <w:trPr>
          <w:tblHeader/>
        </w:trPr>
        <w:tc>
          <w:tcPr>
            <w:tcW w:w="2955" w:type="dxa"/>
            <w:shd w:val="clear" w:color="auto" w:fill="1B4F8A"/>
            <w:tcMar>
              <w:top w:w="80" w:type="dxa"/>
              <w:left w:w="140" w:type="dxa"/>
              <w:bottom w:w="80" w:type="dxa"/>
              <w:right w:w="140" w:type="dxa"/>
            </w:tcMar>
          </w:tcPr>
          <w:p w14:paraId="11CD7EA3" w14:textId="77777777" w:rsidR="00F8430A" w:rsidRDefault="00F8430A" w:rsidP="00A77441">
            <w:r>
              <w:rPr>
                <w:rFonts w:ascii="Arial" w:eastAsia="Arial" w:hAnsi="Arial" w:cs="Arial"/>
                <w:b/>
                <w:bCs/>
                <w:color w:val="FFFFFF"/>
              </w:rPr>
              <w:t>Evaluation Dimension</w:t>
            </w:r>
          </w:p>
        </w:tc>
        <w:tc>
          <w:tcPr>
            <w:tcW w:w="1009" w:type="dxa"/>
            <w:shd w:val="clear" w:color="auto" w:fill="1B4F8A"/>
            <w:tcMar>
              <w:top w:w="80" w:type="dxa"/>
              <w:left w:w="140" w:type="dxa"/>
              <w:bottom w:w="80" w:type="dxa"/>
              <w:right w:w="140" w:type="dxa"/>
            </w:tcMar>
          </w:tcPr>
          <w:p w14:paraId="137FE917" w14:textId="59FDF1F1" w:rsidR="00F8430A" w:rsidRDefault="00DE2836" w:rsidP="00A77441">
            <w:r>
              <w:rPr>
                <w:rFonts w:ascii="Arial" w:eastAsia="Arial" w:hAnsi="Arial" w:cs="Arial"/>
                <w:b/>
                <w:bCs/>
                <w:color w:val="FFFFFF"/>
              </w:rPr>
              <w:t>Points</w:t>
            </w:r>
          </w:p>
        </w:tc>
        <w:tc>
          <w:tcPr>
            <w:tcW w:w="5396" w:type="dxa"/>
            <w:shd w:val="clear" w:color="auto" w:fill="1B4F8A"/>
            <w:tcMar>
              <w:top w:w="80" w:type="dxa"/>
              <w:left w:w="140" w:type="dxa"/>
              <w:bottom w:w="80" w:type="dxa"/>
              <w:right w:w="140" w:type="dxa"/>
            </w:tcMar>
          </w:tcPr>
          <w:p w14:paraId="2D1DE1D6" w14:textId="77777777" w:rsidR="00F8430A" w:rsidRDefault="00F8430A" w:rsidP="00A77441">
            <w:r>
              <w:rPr>
                <w:rFonts w:ascii="Arial" w:eastAsia="Arial" w:hAnsi="Arial" w:cs="Arial"/>
                <w:b/>
                <w:bCs/>
                <w:color w:val="FFFFFF"/>
              </w:rPr>
              <w:t>Focus</w:t>
            </w:r>
          </w:p>
        </w:tc>
      </w:tr>
      <w:tr w:rsidR="00F8430A" w14:paraId="47504458" w14:textId="77777777" w:rsidTr="00E77C6A">
        <w:tc>
          <w:tcPr>
            <w:tcW w:w="2955" w:type="dxa"/>
            <w:tcBorders>
              <w:top w:val="single" w:sz="1" w:space="0" w:color="CCCCCC"/>
              <w:bottom w:val="single" w:sz="1" w:space="0" w:color="CCCCCC"/>
            </w:tcBorders>
            <w:shd w:val="clear" w:color="auto" w:fill="EAF2FB"/>
            <w:tcMar>
              <w:top w:w="80" w:type="dxa"/>
              <w:left w:w="140" w:type="dxa"/>
              <w:bottom w:w="80" w:type="dxa"/>
              <w:right w:w="140" w:type="dxa"/>
            </w:tcMar>
          </w:tcPr>
          <w:p w14:paraId="7D540B8B" w14:textId="77777777" w:rsidR="00F8430A" w:rsidRDefault="00F8430A" w:rsidP="00A77441">
            <w:r>
              <w:rPr>
                <w:rFonts w:ascii="Arial" w:eastAsia="Arial" w:hAnsi="Arial" w:cs="Arial"/>
                <w:b/>
                <w:bCs/>
                <w:color w:val="333333"/>
              </w:rPr>
              <w:t>Analytical Rigor</w:t>
            </w:r>
          </w:p>
        </w:tc>
        <w:tc>
          <w:tcPr>
            <w:tcW w:w="1009" w:type="dxa"/>
            <w:tcBorders>
              <w:top w:val="single" w:sz="1" w:space="0" w:color="CCCCCC"/>
              <w:bottom w:val="single" w:sz="1" w:space="0" w:color="CCCCCC"/>
            </w:tcBorders>
            <w:shd w:val="clear" w:color="auto" w:fill="EAF2FB"/>
            <w:tcMar>
              <w:top w:w="80" w:type="dxa"/>
              <w:left w:w="140" w:type="dxa"/>
              <w:bottom w:w="80" w:type="dxa"/>
              <w:right w:w="140" w:type="dxa"/>
            </w:tcMar>
          </w:tcPr>
          <w:p w14:paraId="1C4BC803" w14:textId="7E37A162" w:rsidR="00F8430A" w:rsidRDefault="00F8430A" w:rsidP="004749C1">
            <w:pPr>
              <w:jc w:val="center"/>
            </w:pPr>
            <w:r>
              <w:rPr>
                <w:rFonts w:ascii="Arial" w:eastAsia="Arial" w:hAnsi="Arial" w:cs="Arial"/>
                <w:b/>
                <w:bCs/>
                <w:color w:val="333333"/>
              </w:rPr>
              <w:t>30</w:t>
            </w:r>
          </w:p>
        </w:tc>
        <w:tc>
          <w:tcPr>
            <w:tcW w:w="5396" w:type="dxa"/>
            <w:tcBorders>
              <w:top w:val="single" w:sz="1" w:space="0" w:color="CCCCCC"/>
              <w:bottom w:val="single" w:sz="1" w:space="0" w:color="CCCCCC"/>
            </w:tcBorders>
            <w:shd w:val="clear" w:color="auto" w:fill="EAF2FB"/>
            <w:tcMar>
              <w:top w:w="80" w:type="dxa"/>
              <w:left w:w="140" w:type="dxa"/>
              <w:bottom w:w="80" w:type="dxa"/>
              <w:right w:w="140" w:type="dxa"/>
            </w:tcMar>
          </w:tcPr>
          <w:p w14:paraId="2244DFF3" w14:textId="77777777" w:rsidR="00F8430A" w:rsidRDefault="00F8430A" w:rsidP="00A77441">
            <w:r>
              <w:rPr>
                <w:rFonts w:ascii="Arial" w:eastAsia="Arial" w:hAnsi="Arial" w:cs="Arial"/>
                <w:color w:val="333333"/>
              </w:rPr>
              <w:t>Quality of logic, assumptions, evidence, and recommendation consistency</w:t>
            </w:r>
          </w:p>
        </w:tc>
      </w:tr>
      <w:tr w:rsidR="00F8430A" w14:paraId="72FC4F89" w14:textId="77777777" w:rsidTr="00E77C6A">
        <w:tc>
          <w:tcPr>
            <w:tcW w:w="2955" w:type="dxa"/>
            <w:tcBorders>
              <w:top w:val="single" w:sz="1" w:space="0" w:color="CCCCCC"/>
              <w:bottom w:val="single" w:sz="1" w:space="0" w:color="CCCCCC"/>
            </w:tcBorders>
            <w:shd w:val="clear" w:color="auto" w:fill="FFFFFF"/>
            <w:tcMar>
              <w:top w:w="80" w:type="dxa"/>
              <w:left w:w="140" w:type="dxa"/>
              <w:bottom w:w="80" w:type="dxa"/>
              <w:right w:w="140" w:type="dxa"/>
            </w:tcMar>
          </w:tcPr>
          <w:p w14:paraId="6D5AC05A" w14:textId="77777777" w:rsidR="00F8430A" w:rsidRDefault="00F8430A" w:rsidP="00A77441">
            <w:r>
              <w:rPr>
                <w:rFonts w:ascii="Arial" w:eastAsia="Arial" w:hAnsi="Arial" w:cs="Arial"/>
                <w:b/>
                <w:bCs/>
                <w:color w:val="333333"/>
              </w:rPr>
              <w:t>Financial Analysis &amp; Valuation</w:t>
            </w:r>
          </w:p>
        </w:tc>
        <w:tc>
          <w:tcPr>
            <w:tcW w:w="1009" w:type="dxa"/>
            <w:tcBorders>
              <w:top w:val="single" w:sz="1" w:space="0" w:color="CCCCCC"/>
              <w:bottom w:val="single" w:sz="1" w:space="0" w:color="CCCCCC"/>
            </w:tcBorders>
            <w:shd w:val="clear" w:color="auto" w:fill="FFFFFF"/>
            <w:tcMar>
              <w:top w:w="80" w:type="dxa"/>
              <w:left w:w="140" w:type="dxa"/>
              <w:bottom w:w="80" w:type="dxa"/>
              <w:right w:w="140" w:type="dxa"/>
            </w:tcMar>
          </w:tcPr>
          <w:p w14:paraId="4D923B79" w14:textId="37372FF4" w:rsidR="00F8430A" w:rsidRDefault="00F8430A" w:rsidP="004749C1">
            <w:pPr>
              <w:jc w:val="center"/>
            </w:pPr>
            <w:r>
              <w:rPr>
                <w:rFonts w:ascii="Arial" w:eastAsia="Arial" w:hAnsi="Arial" w:cs="Arial"/>
                <w:b/>
                <w:bCs/>
                <w:color w:val="333333"/>
              </w:rPr>
              <w:t>30</w:t>
            </w:r>
          </w:p>
        </w:tc>
        <w:tc>
          <w:tcPr>
            <w:tcW w:w="5396" w:type="dxa"/>
            <w:tcBorders>
              <w:top w:val="single" w:sz="1" w:space="0" w:color="CCCCCC"/>
              <w:bottom w:val="single" w:sz="1" w:space="0" w:color="CCCCCC"/>
            </w:tcBorders>
            <w:shd w:val="clear" w:color="auto" w:fill="FFFFFF"/>
            <w:tcMar>
              <w:top w:w="80" w:type="dxa"/>
              <w:left w:w="140" w:type="dxa"/>
              <w:bottom w:w="80" w:type="dxa"/>
              <w:right w:w="140" w:type="dxa"/>
            </w:tcMar>
          </w:tcPr>
          <w:p w14:paraId="7E0077AE" w14:textId="77777777" w:rsidR="00F8430A" w:rsidRDefault="00F8430A" w:rsidP="00A77441">
            <w:r>
              <w:rPr>
                <w:rFonts w:ascii="Arial" w:eastAsia="Arial" w:hAnsi="Arial" w:cs="Arial"/>
                <w:color w:val="333333"/>
              </w:rPr>
              <w:t>Robustness of modelling, valuation methods, pricing logic, and sensitivity analysis</w:t>
            </w:r>
          </w:p>
        </w:tc>
      </w:tr>
      <w:tr w:rsidR="00F8430A" w14:paraId="4E68A238" w14:textId="77777777" w:rsidTr="00E77C6A">
        <w:tc>
          <w:tcPr>
            <w:tcW w:w="2955" w:type="dxa"/>
            <w:tcBorders>
              <w:top w:val="single" w:sz="1" w:space="0" w:color="CCCCCC"/>
              <w:bottom w:val="single" w:sz="1" w:space="0" w:color="CCCCCC"/>
            </w:tcBorders>
            <w:shd w:val="clear" w:color="auto" w:fill="EAF2FB"/>
            <w:tcMar>
              <w:top w:w="80" w:type="dxa"/>
              <w:left w:w="140" w:type="dxa"/>
              <w:bottom w:w="80" w:type="dxa"/>
              <w:right w:w="140" w:type="dxa"/>
            </w:tcMar>
          </w:tcPr>
          <w:p w14:paraId="54842864" w14:textId="77777777" w:rsidR="00F8430A" w:rsidRDefault="00F8430A" w:rsidP="00A77441">
            <w:r>
              <w:rPr>
                <w:rFonts w:ascii="Arial" w:eastAsia="Arial" w:hAnsi="Arial" w:cs="Arial"/>
                <w:b/>
                <w:bCs/>
                <w:color w:val="333333"/>
              </w:rPr>
              <w:t>Strategic &amp; Transaction Insight</w:t>
            </w:r>
          </w:p>
        </w:tc>
        <w:tc>
          <w:tcPr>
            <w:tcW w:w="1009" w:type="dxa"/>
            <w:tcBorders>
              <w:top w:val="single" w:sz="1" w:space="0" w:color="CCCCCC"/>
              <w:bottom w:val="single" w:sz="1" w:space="0" w:color="CCCCCC"/>
            </w:tcBorders>
            <w:shd w:val="clear" w:color="auto" w:fill="EAF2FB"/>
            <w:tcMar>
              <w:top w:w="80" w:type="dxa"/>
              <w:left w:w="140" w:type="dxa"/>
              <w:bottom w:w="80" w:type="dxa"/>
              <w:right w:w="140" w:type="dxa"/>
            </w:tcMar>
          </w:tcPr>
          <w:p w14:paraId="6D0E5446" w14:textId="5B376726" w:rsidR="00F8430A" w:rsidRDefault="00F8430A" w:rsidP="004749C1">
            <w:pPr>
              <w:jc w:val="center"/>
            </w:pPr>
            <w:r>
              <w:rPr>
                <w:rFonts w:ascii="Arial" w:eastAsia="Arial" w:hAnsi="Arial" w:cs="Arial"/>
                <w:b/>
                <w:bCs/>
                <w:color w:val="333333"/>
              </w:rPr>
              <w:t>20</w:t>
            </w:r>
          </w:p>
        </w:tc>
        <w:tc>
          <w:tcPr>
            <w:tcW w:w="5396" w:type="dxa"/>
            <w:tcBorders>
              <w:top w:val="single" w:sz="1" w:space="0" w:color="CCCCCC"/>
              <w:bottom w:val="single" w:sz="1" w:space="0" w:color="CCCCCC"/>
            </w:tcBorders>
            <w:shd w:val="clear" w:color="auto" w:fill="EAF2FB"/>
            <w:tcMar>
              <w:top w:w="80" w:type="dxa"/>
              <w:left w:w="140" w:type="dxa"/>
              <w:bottom w:w="80" w:type="dxa"/>
              <w:right w:w="140" w:type="dxa"/>
            </w:tcMar>
          </w:tcPr>
          <w:p w14:paraId="59C3FA5D" w14:textId="77777777" w:rsidR="00F8430A" w:rsidRDefault="00F8430A" w:rsidP="00A77441">
            <w:r>
              <w:rPr>
                <w:rFonts w:ascii="Arial" w:eastAsia="Arial" w:hAnsi="Arial" w:cs="Arial"/>
                <w:color w:val="333333"/>
              </w:rPr>
              <w:t>Assessment of synergies, risks, financing approach, deal structure, and execution</w:t>
            </w:r>
          </w:p>
        </w:tc>
      </w:tr>
      <w:tr w:rsidR="00F8430A" w14:paraId="45A2C4CB" w14:textId="77777777" w:rsidTr="00E77C6A">
        <w:tc>
          <w:tcPr>
            <w:tcW w:w="2955" w:type="dxa"/>
            <w:tcBorders>
              <w:top w:val="single" w:sz="1" w:space="0" w:color="CCCCCC"/>
              <w:bottom w:val="single" w:sz="1" w:space="0" w:color="CCCCCC"/>
            </w:tcBorders>
            <w:shd w:val="clear" w:color="auto" w:fill="FFFFFF"/>
            <w:tcMar>
              <w:top w:w="80" w:type="dxa"/>
              <w:left w:w="140" w:type="dxa"/>
              <w:bottom w:w="80" w:type="dxa"/>
              <w:right w:w="140" w:type="dxa"/>
            </w:tcMar>
          </w:tcPr>
          <w:p w14:paraId="1F240F6B" w14:textId="77777777" w:rsidR="00F8430A" w:rsidRDefault="00F8430A" w:rsidP="00A77441">
            <w:r>
              <w:rPr>
                <w:rFonts w:ascii="Arial" w:eastAsia="Arial" w:hAnsi="Arial" w:cs="Arial"/>
                <w:b/>
                <w:bCs/>
                <w:color w:val="333333"/>
              </w:rPr>
              <w:t>Professional Quality of Memo</w:t>
            </w:r>
          </w:p>
        </w:tc>
        <w:tc>
          <w:tcPr>
            <w:tcW w:w="1009" w:type="dxa"/>
            <w:tcBorders>
              <w:top w:val="single" w:sz="1" w:space="0" w:color="CCCCCC"/>
              <w:bottom w:val="single" w:sz="1" w:space="0" w:color="CCCCCC"/>
            </w:tcBorders>
            <w:shd w:val="clear" w:color="auto" w:fill="FFFFFF"/>
            <w:tcMar>
              <w:top w:w="80" w:type="dxa"/>
              <w:left w:w="140" w:type="dxa"/>
              <w:bottom w:w="80" w:type="dxa"/>
              <w:right w:w="140" w:type="dxa"/>
            </w:tcMar>
          </w:tcPr>
          <w:p w14:paraId="457043E1" w14:textId="777D0FE4" w:rsidR="00F8430A" w:rsidRDefault="00F8430A" w:rsidP="004749C1">
            <w:pPr>
              <w:jc w:val="center"/>
            </w:pPr>
            <w:r>
              <w:rPr>
                <w:rFonts w:ascii="Arial" w:eastAsia="Arial" w:hAnsi="Arial" w:cs="Arial"/>
                <w:b/>
                <w:bCs/>
                <w:color w:val="333333"/>
              </w:rPr>
              <w:t>20</w:t>
            </w:r>
          </w:p>
        </w:tc>
        <w:tc>
          <w:tcPr>
            <w:tcW w:w="5396" w:type="dxa"/>
            <w:tcBorders>
              <w:top w:val="single" w:sz="1" w:space="0" w:color="CCCCCC"/>
              <w:bottom w:val="single" w:sz="1" w:space="0" w:color="CCCCCC"/>
            </w:tcBorders>
            <w:shd w:val="clear" w:color="auto" w:fill="FFFFFF"/>
            <w:tcMar>
              <w:top w:w="80" w:type="dxa"/>
              <w:left w:w="140" w:type="dxa"/>
              <w:bottom w:w="80" w:type="dxa"/>
              <w:right w:w="140" w:type="dxa"/>
            </w:tcMar>
          </w:tcPr>
          <w:p w14:paraId="7EE8D791" w14:textId="77777777" w:rsidR="00F8430A" w:rsidRDefault="00F8430A" w:rsidP="00A77441">
            <w:r>
              <w:rPr>
                <w:rFonts w:ascii="Arial" w:eastAsia="Arial" w:hAnsi="Arial" w:cs="Arial"/>
                <w:color w:val="333333"/>
              </w:rPr>
              <w:t>Clarity, persuasiveness, structure, and suitability for a board-level advisory memo</w:t>
            </w:r>
          </w:p>
        </w:tc>
      </w:tr>
      <w:tr w:rsidR="00774A45" w14:paraId="4350BDCD" w14:textId="77777777" w:rsidTr="00E77C6A">
        <w:tc>
          <w:tcPr>
            <w:tcW w:w="2955" w:type="dxa"/>
            <w:tcBorders>
              <w:top w:val="single" w:sz="1" w:space="0" w:color="CCCCCC"/>
              <w:bottom w:val="single" w:sz="1" w:space="0" w:color="CCCCCC"/>
            </w:tcBorders>
            <w:shd w:val="clear" w:color="auto" w:fill="FFFFFF"/>
            <w:tcMar>
              <w:top w:w="80" w:type="dxa"/>
              <w:left w:w="140" w:type="dxa"/>
              <w:bottom w:w="80" w:type="dxa"/>
              <w:right w:w="140" w:type="dxa"/>
            </w:tcMar>
          </w:tcPr>
          <w:p w14:paraId="6F75C935" w14:textId="452132CA" w:rsidR="00774A45" w:rsidRDefault="00774A45" w:rsidP="00A77441">
            <w:pPr>
              <w:rPr>
                <w:rFonts w:ascii="Arial" w:eastAsia="Arial" w:hAnsi="Arial" w:cs="Arial"/>
                <w:b/>
                <w:bCs/>
                <w:color w:val="333333"/>
              </w:rPr>
            </w:pPr>
            <w:r>
              <w:rPr>
                <w:rFonts w:ascii="Arial" w:eastAsia="Arial" w:hAnsi="Arial" w:cs="Arial"/>
                <w:b/>
                <w:bCs/>
                <w:color w:val="333333"/>
              </w:rPr>
              <w:t>Total</w:t>
            </w:r>
          </w:p>
        </w:tc>
        <w:tc>
          <w:tcPr>
            <w:tcW w:w="1009" w:type="dxa"/>
            <w:tcBorders>
              <w:top w:val="single" w:sz="1" w:space="0" w:color="CCCCCC"/>
              <w:bottom w:val="single" w:sz="1" w:space="0" w:color="CCCCCC"/>
            </w:tcBorders>
            <w:shd w:val="clear" w:color="auto" w:fill="FFFFFF"/>
            <w:tcMar>
              <w:top w:w="80" w:type="dxa"/>
              <w:left w:w="140" w:type="dxa"/>
              <w:bottom w:w="80" w:type="dxa"/>
              <w:right w:w="140" w:type="dxa"/>
            </w:tcMar>
          </w:tcPr>
          <w:p w14:paraId="14B4D843" w14:textId="7DA09AF8" w:rsidR="00774A45" w:rsidRDefault="00774A45" w:rsidP="004749C1">
            <w:pPr>
              <w:jc w:val="center"/>
              <w:rPr>
                <w:rFonts w:ascii="Arial" w:eastAsia="Arial" w:hAnsi="Arial" w:cs="Arial"/>
                <w:b/>
                <w:bCs/>
                <w:color w:val="333333"/>
              </w:rPr>
            </w:pPr>
            <w:r>
              <w:rPr>
                <w:rFonts w:ascii="Arial" w:eastAsia="Arial" w:hAnsi="Arial" w:cs="Arial"/>
                <w:b/>
                <w:bCs/>
                <w:color w:val="333333"/>
              </w:rPr>
              <w:t>100</w:t>
            </w:r>
          </w:p>
        </w:tc>
        <w:tc>
          <w:tcPr>
            <w:tcW w:w="5396" w:type="dxa"/>
            <w:tcBorders>
              <w:top w:val="single" w:sz="1" w:space="0" w:color="CCCCCC"/>
              <w:bottom w:val="single" w:sz="1" w:space="0" w:color="CCCCCC"/>
            </w:tcBorders>
            <w:shd w:val="clear" w:color="auto" w:fill="FFFFFF"/>
            <w:tcMar>
              <w:top w:w="80" w:type="dxa"/>
              <w:left w:w="140" w:type="dxa"/>
              <w:bottom w:w="80" w:type="dxa"/>
              <w:right w:w="140" w:type="dxa"/>
            </w:tcMar>
          </w:tcPr>
          <w:p w14:paraId="78D94C4A" w14:textId="77777777" w:rsidR="00774A45" w:rsidRDefault="00774A45" w:rsidP="00A77441">
            <w:pPr>
              <w:rPr>
                <w:rFonts w:ascii="Arial" w:eastAsia="Arial" w:hAnsi="Arial" w:cs="Arial"/>
                <w:color w:val="333333"/>
              </w:rPr>
            </w:pPr>
          </w:p>
        </w:tc>
      </w:tr>
    </w:tbl>
    <w:p w14:paraId="106487F9" w14:textId="77777777" w:rsidR="00F8430A" w:rsidRDefault="00F8430A" w:rsidP="00F8430A">
      <w:pPr>
        <w:spacing w:after="100"/>
      </w:pPr>
    </w:p>
    <w:p w14:paraId="436EDF2F" w14:textId="03E13216" w:rsidR="00DE2836" w:rsidRPr="00E77C6A" w:rsidRDefault="00DE2836" w:rsidP="00F8430A">
      <w:pPr>
        <w:spacing w:before="60" w:after="100"/>
        <w:rPr>
          <w:rFonts w:ascii="Arial" w:eastAsia="Arial" w:hAnsi="Arial" w:cs="Arial"/>
          <w:b/>
          <w:bCs/>
          <w:color w:val="333333"/>
          <w:sz w:val="23"/>
          <w:szCs w:val="23"/>
        </w:rPr>
      </w:pPr>
      <w:r w:rsidRPr="00E77C6A">
        <w:rPr>
          <w:rFonts w:ascii="Arial" w:eastAsia="Arial" w:hAnsi="Arial" w:cs="Arial"/>
          <w:b/>
          <w:bCs/>
          <w:color w:val="333333"/>
          <w:sz w:val="23"/>
          <w:szCs w:val="23"/>
        </w:rPr>
        <w:t>Presentation Evaluation</w:t>
      </w:r>
    </w:p>
    <w:p w14:paraId="7BC12855" w14:textId="7E955F1D" w:rsidR="00F8430A" w:rsidRDefault="00F8430A" w:rsidP="00E77C6A">
      <w:pPr>
        <w:spacing w:before="60" w:after="100"/>
        <w:jc w:val="both"/>
        <w:rPr>
          <w:rFonts w:ascii="Arial" w:eastAsia="Arial" w:hAnsi="Arial" w:cs="Arial"/>
          <w:color w:val="333333"/>
          <w:sz w:val="22"/>
          <w:szCs w:val="22"/>
        </w:rPr>
      </w:pPr>
      <w:r>
        <w:rPr>
          <w:rFonts w:ascii="Arial" w:eastAsia="Arial" w:hAnsi="Arial" w:cs="Arial"/>
          <w:color w:val="333333"/>
          <w:sz w:val="22"/>
          <w:szCs w:val="22"/>
        </w:rPr>
        <w:t>For the finale, judges will additionally assess presentation clarity, command of the analysis, quality of responses during Q&amp;A, and overall professionalism.</w:t>
      </w:r>
    </w:p>
    <w:p w14:paraId="5D53B58E" w14:textId="77777777" w:rsidR="00FB39F3" w:rsidRDefault="00FB39F3" w:rsidP="00F8430A">
      <w:pPr>
        <w:spacing w:before="60" w:after="100"/>
        <w:rPr>
          <w:rFonts w:ascii="Arial" w:eastAsia="Arial" w:hAnsi="Arial" w:cs="Arial"/>
          <w:color w:val="333333"/>
          <w:sz w:val="22"/>
          <w:szCs w:val="22"/>
        </w:rPr>
      </w:pPr>
    </w:p>
    <w:tbl>
      <w:tblPr>
        <w:tblStyle w:val="ListTable1Light-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828"/>
        <w:gridCol w:w="6413"/>
      </w:tblGrid>
      <w:tr w:rsidR="00DE2836" w:rsidRPr="00DE2836" w14:paraId="407E6836" w14:textId="77777777" w:rsidTr="00E77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215E99" w:themeFill="text2" w:themeFillTint="BF"/>
            <w:hideMark/>
          </w:tcPr>
          <w:p w14:paraId="17A3C07F" w14:textId="77777777" w:rsidR="00DE2836" w:rsidRPr="00E77C6A" w:rsidRDefault="00DE2836" w:rsidP="00DE2836">
            <w:pPr>
              <w:spacing w:before="60" w:after="100"/>
              <w:rPr>
                <w:rFonts w:ascii="Arial" w:hAnsi="Arial" w:cs="Arial"/>
                <w:color w:val="FFFFFF" w:themeColor="background1"/>
                <w:lang w:val="en-AU"/>
              </w:rPr>
            </w:pPr>
            <w:r w:rsidRPr="00E77C6A">
              <w:rPr>
                <w:rFonts w:ascii="Arial" w:hAnsi="Arial" w:cs="Arial"/>
                <w:color w:val="FFFFFF" w:themeColor="background1"/>
                <w:lang w:val="en-AU"/>
              </w:rPr>
              <w:t>Evaluation Dimension</w:t>
            </w:r>
          </w:p>
        </w:tc>
        <w:tc>
          <w:tcPr>
            <w:tcW w:w="0" w:type="auto"/>
            <w:tcBorders>
              <w:bottom w:val="none" w:sz="0" w:space="0" w:color="auto"/>
            </w:tcBorders>
            <w:shd w:val="clear" w:color="auto" w:fill="215E99" w:themeFill="text2" w:themeFillTint="BF"/>
            <w:hideMark/>
          </w:tcPr>
          <w:p w14:paraId="001C7E50" w14:textId="25DC298E" w:rsidR="00DE2836" w:rsidRPr="00E77C6A" w:rsidRDefault="00DE2836" w:rsidP="00DE2836">
            <w:pPr>
              <w:spacing w:before="60" w:after="10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lang w:val="en-AU"/>
              </w:rPr>
            </w:pPr>
            <w:r w:rsidRPr="00E77C6A">
              <w:rPr>
                <w:rFonts w:ascii="Arial" w:hAnsi="Arial" w:cs="Arial"/>
                <w:color w:val="FFFFFF" w:themeColor="background1"/>
                <w:lang w:val="en-AU"/>
              </w:rPr>
              <w:t>Points</w:t>
            </w:r>
          </w:p>
        </w:tc>
        <w:tc>
          <w:tcPr>
            <w:tcW w:w="0" w:type="auto"/>
            <w:tcBorders>
              <w:bottom w:val="none" w:sz="0" w:space="0" w:color="auto"/>
            </w:tcBorders>
            <w:shd w:val="clear" w:color="auto" w:fill="215E99" w:themeFill="text2" w:themeFillTint="BF"/>
            <w:hideMark/>
          </w:tcPr>
          <w:p w14:paraId="6026830D" w14:textId="77777777" w:rsidR="00DE2836" w:rsidRPr="00E77C6A" w:rsidRDefault="00DE2836" w:rsidP="00DE2836">
            <w:pPr>
              <w:spacing w:before="60" w:after="10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lang w:val="en-AU"/>
              </w:rPr>
            </w:pPr>
            <w:r w:rsidRPr="00E77C6A">
              <w:rPr>
                <w:rFonts w:ascii="Arial" w:hAnsi="Arial" w:cs="Arial"/>
                <w:color w:val="FFFFFF" w:themeColor="background1"/>
                <w:lang w:val="en-AU"/>
              </w:rPr>
              <w:t>Focus</w:t>
            </w:r>
          </w:p>
        </w:tc>
      </w:tr>
      <w:tr w:rsidR="00DE2836" w:rsidRPr="00DE2836" w14:paraId="6FC2D711" w14:textId="77777777" w:rsidTr="00E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0A35A" w14:textId="77777777" w:rsidR="00DE2836" w:rsidRPr="00E77C6A" w:rsidRDefault="00DE2836" w:rsidP="00DE2836">
            <w:pPr>
              <w:spacing w:before="60" w:after="100"/>
              <w:rPr>
                <w:rFonts w:ascii="Arial" w:hAnsi="Arial" w:cs="Arial"/>
                <w:lang w:val="en-AU"/>
              </w:rPr>
            </w:pPr>
            <w:r w:rsidRPr="00E77C6A">
              <w:rPr>
                <w:rFonts w:ascii="Arial" w:hAnsi="Arial" w:cs="Arial"/>
                <w:lang w:val="en-AU"/>
              </w:rPr>
              <w:t>Analytical Rigor</w:t>
            </w:r>
          </w:p>
        </w:tc>
        <w:tc>
          <w:tcPr>
            <w:tcW w:w="0" w:type="auto"/>
            <w:hideMark/>
          </w:tcPr>
          <w:p w14:paraId="18379554" w14:textId="30435DD5" w:rsidR="00DE2836" w:rsidRPr="00E77C6A" w:rsidRDefault="00DE2836" w:rsidP="004749C1">
            <w:pPr>
              <w:spacing w:before="60" w:after="10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20</w:t>
            </w:r>
          </w:p>
        </w:tc>
        <w:tc>
          <w:tcPr>
            <w:tcW w:w="0" w:type="auto"/>
            <w:hideMark/>
          </w:tcPr>
          <w:p w14:paraId="276884FE" w14:textId="6306E59A" w:rsidR="00DE2836" w:rsidRPr="00E77C6A" w:rsidRDefault="00DE2836" w:rsidP="00DE2836">
            <w:pPr>
              <w:spacing w:before="60" w:after="100"/>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Pr>
                <w:rFonts w:ascii="Arial" w:hAnsi="Arial" w:cs="Arial"/>
              </w:rPr>
              <w:t>Quality of l</w:t>
            </w:r>
            <w:r w:rsidRPr="00DE2836">
              <w:rPr>
                <w:rFonts w:ascii="Arial" w:hAnsi="Arial" w:cs="Arial"/>
              </w:rPr>
              <w:t>ogic, assumptions, consistency, depth of analysis</w:t>
            </w:r>
          </w:p>
        </w:tc>
      </w:tr>
      <w:tr w:rsidR="00DE2836" w:rsidRPr="00DE2836" w14:paraId="60DA3AB0" w14:textId="77777777" w:rsidTr="00E77C6A">
        <w:tc>
          <w:tcPr>
            <w:cnfStyle w:val="001000000000" w:firstRow="0" w:lastRow="0" w:firstColumn="1" w:lastColumn="0" w:oddVBand="0" w:evenVBand="0" w:oddHBand="0" w:evenHBand="0" w:firstRowFirstColumn="0" w:firstRowLastColumn="0" w:lastRowFirstColumn="0" w:lastRowLastColumn="0"/>
            <w:tcW w:w="0" w:type="auto"/>
            <w:hideMark/>
          </w:tcPr>
          <w:p w14:paraId="20C19C5E" w14:textId="77777777" w:rsidR="00DE2836" w:rsidRPr="00E77C6A" w:rsidRDefault="00DE2836" w:rsidP="00DE2836">
            <w:pPr>
              <w:spacing w:before="60" w:after="100"/>
              <w:rPr>
                <w:rFonts w:ascii="Arial" w:hAnsi="Arial" w:cs="Arial"/>
                <w:lang w:val="en-AU"/>
              </w:rPr>
            </w:pPr>
            <w:r w:rsidRPr="00E77C6A">
              <w:rPr>
                <w:rFonts w:ascii="Arial" w:hAnsi="Arial" w:cs="Arial"/>
                <w:lang w:val="en-AU"/>
              </w:rPr>
              <w:t>Financial Analysis &amp; Valuation</w:t>
            </w:r>
          </w:p>
        </w:tc>
        <w:tc>
          <w:tcPr>
            <w:tcW w:w="0" w:type="auto"/>
            <w:hideMark/>
          </w:tcPr>
          <w:p w14:paraId="3E9878EC" w14:textId="6B4A9D8A" w:rsidR="00DE2836" w:rsidRPr="00E77C6A" w:rsidRDefault="00DE2836" w:rsidP="004749C1">
            <w:pPr>
              <w:spacing w:before="60" w:after="10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25</w:t>
            </w:r>
          </w:p>
        </w:tc>
        <w:tc>
          <w:tcPr>
            <w:tcW w:w="0" w:type="auto"/>
            <w:hideMark/>
          </w:tcPr>
          <w:p w14:paraId="7A63C71A" w14:textId="3D430EB6" w:rsidR="00DE2836" w:rsidRPr="00E77C6A" w:rsidRDefault="00DE2836" w:rsidP="00DE2836">
            <w:pPr>
              <w:spacing w:before="60" w:after="100"/>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eastAsia="Arial" w:hAnsi="Arial" w:cs="Arial"/>
                <w:color w:val="333333"/>
              </w:rPr>
              <w:t>Robustness of modelling, valuation methods, pricing logic, and sensitivity analysis</w:t>
            </w:r>
          </w:p>
        </w:tc>
      </w:tr>
      <w:tr w:rsidR="00DE2836" w:rsidRPr="00DE2836" w14:paraId="6F45DBDE" w14:textId="77777777" w:rsidTr="00E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A50B9" w14:textId="5D35622C" w:rsidR="00DE2836" w:rsidRPr="00E77C6A" w:rsidRDefault="00DE2836" w:rsidP="00DE2836">
            <w:pPr>
              <w:spacing w:before="60" w:after="100"/>
              <w:rPr>
                <w:rFonts w:ascii="Arial" w:hAnsi="Arial" w:cs="Arial"/>
                <w:lang w:val="en-AU"/>
              </w:rPr>
            </w:pPr>
            <w:r>
              <w:rPr>
                <w:rFonts w:ascii="Arial" w:hAnsi="Arial" w:cs="Arial"/>
                <w:lang w:val="en-AU"/>
              </w:rPr>
              <w:t>Strategic</w:t>
            </w:r>
            <w:r w:rsidRPr="00E77C6A">
              <w:rPr>
                <w:rFonts w:ascii="Arial" w:hAnsi="Arial" w:cs="Arial"/>
                <w:lang w:val="en-AU"/>
              </w:rPr>
              <w:t xml:space="preserve"> &amp; Transaction Insight</w:t>
            </w:r>
          </w:p>
        </w:tc>
        <w:tc>
          <w:tcPr>
            <w:tcW w:w="0" w:type="auto"/>
            <w:hideMark/>
          </w:tcPr>
          <w:p w14:paraId="39C79A6E" w14:textId="0B466337" w:rsidR="00DE2836" w:rsidRPr="00E77C6A" w:rsidRDefault="00DE2836" w:rsidP="004749C1">
            <w:pPr>
              <w:spacing w:before="60" w:after="10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20</w:t>
            </w:r>
          </w:p>
        </w:tc>
        <w:tc>
          <w:tcPr>
            <w:tcW w:w="0" w:type="auto"/>
            <w:hideMark/>
          </w:tcPr>
          <w:p w14:paraId="397C43E8" w14:textId="2813A312" w:rsidR="00DE2836" w:rsidRPr="00E77C6A" w:rsidRDefault="00DE2836" w:rsidP="00DE2836">
            <w:pPr>
              <w:spacing w:before="60" w:after="100"/>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Pr>
                <w:rFonts w:ascii="Arial" w:eastAsia="Arial" w:hAnsi="Arial" w:cs="Arial"/>
                <w:color w:val="333333"/>
              </w:rPr>
              <w:t>Assessment of synergies, risks, financing approach, deal structure, and execution</w:t>
            </w:r>
          </w:p>
        </w:tc>
      </w:tr>
      <w:tr w:rsidR="00DE2836" w:rsidRPr="00DE2836" w14:paraId="6DFBCC8B" w14:textId="77777777" w:rsidTr="00E77C6A">
        <w:tc>
          <w:tcPr>
            <w:cnfStyle w:val="001000000000" w:firstRow="0" w:lastRow="0" w:firstColumn="1" w:lastColumn="0" w:oddVBand="0" w:evenVBand="0" w:oddHBand="0" w:evenHBand="0" w:firstRowFirstColumn="0" w:firstRowLastColumn="0" w:lastRowFirstColumn="0" w:lastRowLastColumn="0"/>
            <w:tcW w:w="0" w:type="auto"/>
            <w:hideMark/>
          </w:tcPr>
          <w:p w14:paraId="6610C384" w14:textId="459CD1D7" w:rsidR="00DE2836" w:rsidRPr="00E77C6A" w:rsidRDefault="00DE2836" w:rsidP="00DE2836">
            <w:pPr>
              <w:spacing w:before="60" w:after="100"/>
              <w:rPr>
                <w:rFonts w:ascii="Arial" w:hAnsi="Arial" w:cs="Arial"/>
                <w:lang w:val="en-AU"/>
              </w:rPr>
            </w:pPr>
            <w:r w:rsidRPr="00E77C6A">
              <w:rPr>
                <w:rFonts w:ascii="Arial" w:hAnsi="Arial" w:cs="Arial"/>
                <w:lang w:val="en-AU"/>
              </w:rPr>
              <w:t xml:space="preserve">Recommendation </w:t>
            </w:r>
          </w:p>
        </w:tc>
        <w:tc>
          <w:tcPr>
            <w:tcW w:w="0" w:type="auto"/>
            <w:hideMark/>
          </w:tcPr>
          <w:p w14:paraId="2C298023" w14:textId="31A53474" w:rsidR="00DE2836" w:rsidRPr="00E77C6A" w:rsidRDefault="00DE2836" w:rsidP="004749C1">
            <w:pPr>
              <w:spacing w:before="60" w:after="10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10</w:t>
            </w:r>
          </w:p>
        </w:tc>
        <w:tc>
          <w:tcPr>
            <w:tcW w:w="0" w:type="auto"/>
            <w:hideMark/>
          </w:tcPr>
          <w:p w14:paraId="4F2588BE" w14:textId="77777777" w:rsidR="00DE2836" w:rsidRPr="00E77C6A" w:rsidRDefault="00DE2836" w:rsidP="00DE2836">
            <w:pPr>
              <w:spacing w:before="60" w:after="100"/>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Clarity, decisiveness, and board-level relevance of the recommendation. Alignment with analysis and consideration of alternative options.</w:t>
            </w:r>
          </w:p>
        </w:tc>
      </w:tr>
      <w:tr w:rsidR="00DE2836" w:rsidRPr="00DE2836" w14:paraId="2DFD06EF" w14:textId="77777777" w:rsidTr="00E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2E36F" w14:textId="77777777" w:rsidR="00DE2836" w:rsidRPr="00E77C6A" w:rsidRDefault="00DE2836" w:rsidP="00DE2836">
            <w:pPr>
              <w:spacing w:before="60" w:after="100"/>
              <w:rPr>
                <w:rFonts w:ascii="Arial" w:hAnsi="Arial" w:cs="Arial"/>
                <w:lang w:val="en-AU"/>
              </w:rPr>
            </w:pPr>
            <w:r w:rsidRPr="00E77C6A">
              <w:rPr>
                <w:rFonts w:ascii="Arial" w:hAnsi="Arial" w:cs="Arial"/>
                <w:lang w:val="en-AU"/>
              </w:rPr>
              <w:t>Presentation Delivery</w:t>
            </w:r>
          </w:p>
        </w:tc>
        <w:tc>
          <w:tcPr>
            <w:tcW w:w="0" w:type="auto"/>
            <w:hideMark/>
          </w:tcPr>
          <w:p w14:paraId="6E3C0BBD" w14:textId="2A9085F5" w:rsidR="00DE2836" w:rsidRPr="00E77C6A" w:rsidRDefault="00DE2836" w:rsidP="004749C1">
            <w:pPr>
              <w:spacing w:before="60" w:after="10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10</w:t>
            </w:r>
          </w:p>
        </w:tc>
        <w:tc>
          <w:tcPr>
            <w:tcW w:w="0" w:type="auto"/>
            <w:hideMark/>
          </w:tcPr>
          <w:p w14:paraId="109B3997" w14:textId="77777777" w:rsidR="00DE2836" w:rsidRPr="00E77C6A" w:rsidRDefault="00DE2836" w:rsidP="00DE2836">
            <w:pPr>
              <w:spacing w:before="60" w:after="100"/>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Clarity, structure, and professionalism of presentation. Ability to communicate complex ideas effectively within time constraints.</w:t>
            </w:r>
          </w:p>
        </w:tc>
      </w:tr>
      <w:tr w:rsidR="00DE2836" w:rsidRPr="00DE2836" w14:paraId="73AF3448" w14:textId="77777777" w:rsidTr="00E77C6A">
        <w:tc>
          <w:tcPr>
            <w:cnfStyle w:val="001000000000" w:firstRow="0" w:lastRow="0" w:firstColumn="1" w:lastColumn="0" w:oddVBand="0" w:evenVBand="0" w:oddHBand="0" w:evenHBand="0" w:firstRowFirstColumn="0" w:firstRowLastColumn="0" w:lastRowFirstColumn="0" w:lastRowLastColumn="0"/>
            <w:tcW w:w="0" w:type="auto"/>
            <w:hideMark/>
          </w:tcPr>
          <w:p w14:paraId="5EFFD7B0" w14:textId="1A370842" w:rsidR="00DE2836" w:rsidRPr="00E77C6A" w:rsidRDefault="00DE2836" w:rsidP="00DE2836">
            <w:pPr>
              <w:spacing w:before="60" w:after="100"/>
              <w:rPr>
                <w:rFonts w:ascii="Arial" w:hAnsi="Arial" w:cs="Arial"/>
                <w:lang w:val="en-AU"/>
              </w:rPr>
            </w:pPr>
            <w:r w:rsidRPr="00E77C6A">
              <w:rPr>
                <w:rFonts w:ascii="Arial" w:hAnsi="Arial" w:cs="Arial"/>
                <w:lang w:val="en-AU"/>
              </w:rPr>
              <w:t xml:space="preserve">Q&amp;A </w:t>
            </w:r>
          </w:p>
        </w:tc>
        <w:tc>
          <w:tcPr>
            <w:tcW w:w="0" w:type="auto"/>
            <w:hideMark/>
          </w:tcPr>
          <w:p w14:paraId="1802651D" w14:textId="63C110AF" w:rsidR="00DE2836" w:rsidRPr="00E77C6A" w:rsidRDefault="00DE2836" w:rsidP="004749C1">
            <w:pPr>
              <w:spacing w:before="60" w:after="10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10</w:t>
            </w:r>
          </w:p>
        </w:tc>
        <w:tc>
          <w:tcPr>
            <w:tcW w:w="0" w:type="auto"/>
            <w:hideMark/>
          </w:tcPr>
          <w:p w14:paraId="2EEDCBC6" w14:textId="77777777" w:rsidR="00DE2836" w:rsidRPr="00E77C6A" w:rsidRDefault="00DE2836" w:rsidP="00DE2836">
            <w:pPr>
              <w:spacing w:before="60" w:after="100"/>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Ability to respond to questions with clarity and confidence. Depth of understanding of analysis and consistency in defending assumptions and conclusions.</w:t>
            </w:r>
          </w:p>
        </w:tc>
      </w:tr>
      <w:tr w:rsidR="00DE2836" w:rsidRPr="00DE2836" w14:paraId="348A7548" w14:textId="77777777" w:rsidTr="00E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5A7B1" w14:textId="77777777" w:rsidR="00DE2836" w:rsidRPr="00E77C6A" w:rsidRDefault="00DE2836" w:rsidP="00DE2836">
            <w:pPr>
              <w:spacing w:before="60" w:after="100"/>
              <w:rPr>
                <w:rFonts w:ascii="Arial" w:hAnsi="Arial" w:cs="Arial"/>
                <w:lang w:val="en-AU"/>
              </w:rPr>
            </w:pPr>
            <w:r w:rsidRPr="00E77C6A">
              <w:rPr>
                <w:rFonts w:ascii="Arial" w:hAnsi="Arial" w:cs="Arial"/>
                <w:lang w:val="en-AU"/>
              </w:rPr>
              <w:t>Team Coordination</w:t>
            </w:r>
          </w:p>
        </w:tc>
        <w:tc>
          <w:tcPr>
            <w:tcW w:w="0" w:type="auto"/>
            <w:hideMark/>
          </w:tcPr>
          <w:p w14:paraId="73AEFCC0" w14:textId="4E2BAB13" w:rsidR="00DE2836" w:rsidRPr="00E77C6A" w:rsidRDefault="00DE2836" w:rsidP="004749C1">
            <w:pPr>
              <w:spacing w:before="60" w:after="10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3</w:t>
            </w:r>
          </w:p>
        </w:tc>
        <w:tc>
          <w:tcPr>
            <w:tcW w:w="0" w:type="auto"/>
            <w:hideMark/>
          </w:tcPr>
          <w:p w14:paraId="1B234E95" w14:textId="77777777" w:rsidR="00DE2836" w:rsidRPr="00E77C6A" w:rsidRDefault="00DE2836" w:rsidP="00DE2836">
            <w:pPr>
              <w:spacing w:before="60" w:after="100"/>
              <w:cnfStyle w:val="000000100000" w:firstRow="0" w:lastRow="0" w:firstColumn="0" w:lastColumn="0" w:oddVBand="0" w:evenVBand="0" w:oddHBand="1" w:evenHBand="0" w:firstRowFirstColumn="0" w:firstRowLastColumn="0" w:lastRowFirstColumn="0" w:lastRowLastColumn="0"/>
              <w:rPr>
                <w:rFonts w:ascii="Arial" w:hAnsi="Arial" w:cs="Arial"/>
                <w:lang w:val="en-AU"/>
              </w:rPr>
            </w:pPr>
            <w:r w:rsidRPr="00E77C6A">
              <w:rPr>
                <w:rFonts w:ascii="Arial" w:hAnsi="Arial" w:cs="Arial"/>
                <w:lang w:val="en-AU"/>
              </w:rPr>
              <w:t>Balanced participation, teamwork, and smooth coordination among members during presentation and Q&amp;A.</w:t>
            </w:r>
          </w:p>
        </w:tc>
      </w:tr>
      <w:tr w:rsidR="00DE2836" w:rsidRPr="00DE2836" w14:paraId="685DEFD7" w14:textId="77777777" w:rsidTr="00E77C6A">
        <w:tc>
          <w:tcPr>
            <w:cnfStyle w:val="001000000000" w:firstRow="0" w:lastRow="0" w:firstColumn="1" w:lastColumn="0" w:oddVBand="0" w:evenVBand="0" w:oddHBand="0" w:evenHBand="0" w:firstRowFirstColumn="0" w:firstRowLastColumn="0" w:lastRowFirstColumn="0" w:lastRowLastColumn="0"/>
            <w:tcW w:w="0" w:type="auto"/>
            <w:hideMark/>
          </w:tcPr>
          <w:p w14:paraId="3EC22C1D" w14:textId="77777777" w:rsidR="00DE2836" w:rsidRPr="00E77C6A" w:rsidRDefault="00DE2836" w:rsidP="00DE2836">
            <w:pPr>
              <w:spacing w:before="60" w:after="100"/>
              <w:rPr>
                <w:rFonts w:ascii="Arial" w:hAnsi="Arial" w:cs="Arial"/>
                <w:lang w:val="en-AU"/>
              </w:rPr>
            </w:pPr>
            <w:r w:rsidRPr="00E77C6A">
              <w:rPr>
                <w:rFonts w:ascii="Arial" w:hAnsi="Arial" w:cs="Arial"/>
                <w:lang w:val="en-AU"/>
              </w:rPr>
              <w:t>Materials &amp; Professionalism</w:t>
            </w:r>
          </w:p>
        </w:tc>
        <w:tc>
          <w:tcPr>
            <w:tcW w:w="0" w:type="auto"/>
            <w:hideMark/>
          </w:tcPr>
          <w:p w14:paraId="3A233006" w14:textId="34F0669A" w:rsidR="00DE2836" w:rsidRPr="00E77C6A" w:rsidRDefault="00DE2836" w:rsidP="004749C1">
            <w:pPr>
              <w:spacing w:before="60" w:after="10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2</w:t>
            </w:r>
          </w:p>
        </w:tc>
        <w:tc>
          <w:tcPr>
            <w:tcW w:w="0" w:type="auto"/>
            <w:hideMark/>
          </w:tcPr>
          <w:p w14:paraId="72F627B3" w14:textId="77777777" w:rsidR="00DE2836" w:rsidRPr="00E77C6A" w:rsidRDefault="00DE2836" w:rsidP="00DE2836">
            <w:pPr>
              <w:spacing w:before="60" w:after="100"/>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sidRPr="00E77C6A">
              <w:rPr>
                <w:rFonts w:ascii="Arial" w:hAnsi="Arial" w:cs="Arial"/>
                <w:lang w:val="en-AU"/>
              </w:rPr>
              <w:t>Quality and clarity of slides and visual materials. Professional formatting and appropriateness for an advisory setting.</w:t>
            </w:r>
          </w:p>
        </w:tc>
      </w:tr>
      <w:tr w:rsidR="007F3C72" w:rsidRPr="00DE2836" w14:paraId="7EEDA7CB" w14:textId="77777777" w:rsidTr="00E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4B5CD8" w14:textId="266EAD06" w:rsidR="007F3C72" w:rsidRPr="00E77C6A" w:rsidRDefault="007F3C72" w:rsidP="00DE2836">
            <w:pPr>
              <w:spacing w:before="60" w:after="100"/>
              <w:rPr>
                <w:rFonts w:ascii="Arial" w:hAnsi="Arial" w:cs="Arial"/>
                <w:lang w:val="en-AU"/>
              </w:rPr>
            </w:pPr>
            <w:r>
              <w:rPr>
                <w:rFonts w:ascii="Arial" w:hAnsi="Arial" w:cs="Arial"/>
                <w:lang w:val="en-AU"/>
              </w:rPr>
              <w:lastRenderedPageBreak/>
              <w:t>Total</w:t>
            </w:r>
          </w:p>
        </w:tc>
        <w:tc>
          <w:tcPr>
            <w:tcW w:w="0" w:type="auto"/>
          </w:tcPr>
          <w:p w14:paraId="6C358D14" w14:textId="3C86C4C1" w:rsidR="007F3C72" w:rsidRPr="007F3C72" w:rsidRDefault="007F3C72" w:rsidP="004749C1">
            <w:pPr>
              <w:spacing w:before="60" w:after="100"/>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AU"/>
              </w:rPr>
            </w:pPr>
            <w:r w:rsidRPr="007F3C72">
              <w:rPr>
                <w:rFonts w:ascii="Arial" w:hAnsi="Arial" w:cs="Arial"/>
                <w:b/>
                <w:bCs/>
                <w:lang w:val="en-AU"/>
              </w:rPr>
              <w:t>100</w:t>
            </w:r>
          </w:p>
        </w:tc>
        <w:tc>
          <w:tcPr>
            <w:tcW w:w="0" w:type="auto"/>
          </w:tcPr>
          <w:p w14:paraId="5D722476" w14:textId="77777777" w:rsidR="007F3C72" w:rsidRPr="00E77C6A" w:rsidRDefault="007F3C72" w:rsidP="00DE2836">
            <w:pPr>
              <w:spacing w:before="60" w:after="100"/>
              <w:cnfStyle w:val="000000100000" w:firstRow="0" w:lastRow="0" w:firstColumn="0" w:lastColumn="0" w:oddVBand="0" w:evenVBand="0" w:oddHBand="1" w:evenHBand="0" w:firstRowFirstColumn="0" w:firstRowLastColumn="0" w:lastRowFirstColumn="0" w:lastRowLastColumn="0"/>
              <w:rPr>
                <w:rFonts w:ascii="Arial" w:hAnsi="Arial" w:cs="Arial"/>
                <w:lang w:val="en-AU"/>
              </w:rPr>
            </w:pPr>
          </w:p>
        </w:tc>
      </w:tr>
    </w:tbl>
    <w:p w14:paraId="21ACE31A" w14:textId="77777777" w:rsidR="00DE2836" w:rsidRDefault="00DE2836" w:rsidP="00F8430A">
      <w:pPr>
        <w:spacing w:before="60" w:after="100"/>
      </w:pPr>
    </w:p>
    <w:p w14:paraId="5CC87123" w14:textId="22D9CF38" w:rsidR="00FB39F3" w:rsidRDefault="00FB39F3" w:rsidP="00E77C6A">
      <w:pPr>
        <w:spacing w:before="60" w:after="100"/>
        <w:jc w:val="both"/>
        <w:rPr>
          <w:rFonts w:ascii="Arial" w:hAnsi="Arial" w:cs="Arial"/>
          <w:sz w:val="22"/>
          <w:szCs w:val="22"/>
        </w:rPr>
      </w:pPr>
      <w:r w:rsidRPr="00E77C6A">
        <w:rPr>
          <w:rFonts w:ascii="Arial" w:hAnsi="Arial" w:cs="Arial"/>
          <w:sz w:val="22"/>
          <w:szCs w:val="22"/>
        </w:rPr>
        <w:t>Final rankings will be determined based on the overall performance across both the written submission (advisory memo and financial model) and the final presentation.</w:t>
      </w:r>
    </w:p>
    <w:p w14:paraId="69E12F41" w14:textId="77777777" w:rsidR="00FB39F3" w:rsidRDefault="00FB39F3" w:rsidP="00F8430A">
      <w:pPr>
        <w:spacing w:before="60" w:after="100"/>
        <w:rPr>
          <w:rFonts w:ascii="Arial" w:hAnsi="Arial" w:cs="Arial"/>
          <w:sz w:val="22"/>
          <w:szCs w:val="22"/>
        </w:rPr>
      </w:pPr>
    </w:p>
    <w:p w14:paraId="3C352CA8"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8. Awards and Prizes</w:t>
      </w:r>
    </w:p>
    <w:p w14:paraId="5EFEF289" w14:textId="77777777" w:rsidR="00F8430A" w:rsidRDefault="00F8430A" w:rsidP="00F843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430A" w14:paraId="5718D92F" w14:textId="77777777" w:rsidTr="00E77C6A">
        <w:trPr>
          <w:tblHeader/>
        </w:trPr>
        <w:tc>
          <w:tcPr>
            <w:tcW w:w="3120" w:type="dxa"/>
            <w:shd w:val="clear" w:color="auto" w:fill="3333FF"/>
            <w:tcMar>
              <w:top w:w="100" w:type="dxa"/>
              <w:left w:w="140" w:type="dxa"/>
              <w:bottom w:w="100" w:type="dxa"/>
              <w:right w:w="140" w:type="dxa"/>
            </w:tcMar>
          </w:tcPr>
          <w:p w14:paraId="75AB52E0" w14:textId="77777777" w:rsidR="00F8430A" w:rsidRDefault="00F8430A" w:rsidP="00A77441">
            <w:pPr>
              <w:jc w:val="center"/>
            </w:pPr>
            <w:r>
              <w:rPr>
                <w:rFonts w:ascii="Arial" w:eastAsia="Arial" w:hAnsi="Arial" w:cs="Arial"/>
                <w:b/>
                <w:bCs/>
                <w:color w:val="FFFFFF"/>
                <w:sz w:val="21"/>
                <w:szCs w:val="21"/>
              </w:rPr>
              <w:t>Champion</w:t>
            </w:r>
          </w:p>
        </w:tc>
        <w:tc>
          <w:tcPr>
            <w:tcW w:w="3120" w:type="dxa"/>
            <w:shd w:val="clear" w:color="auto" w:fill="00B0F0"/>
            <w:tcMar>
              <w:top w:w="100" w:type="dxa"/>
              <w:left w:w="140" w:type="dxa"/>
              <w:bottom w:w="100" w:type="dxa"/>
              <w:right w:w="140" w:type="dxa"/>
            </w:tcMar>
          </w:tcPr>
          <w:p w14:paraId="489744CD" w14:textId="77777777" w:rsidR="00F8430A" w:rsidRDefault="00F8430A" w:rsidP="00A77441">
            <w:pPr>
              <w:jc w:val="center"/>
            </w:pPr>
            <w:r>
              <w:rPr>
                <w:rFonts w:ascii="Arial" w:eastAsia="Arial" w:hAnsi="Arial" w:cs="Arial"/>
                <w:b/>
                <w:bCs/>
                <w:color w:val="FFFFFF"/>
                <w:sz w:val="21"/>
                <w:szCs w:val="21"/>
              </w:rPr>
              <w:t>1st Runner-up</w:t>
            </w:r>
          </w:p>
        </w:tc>
        <w:tc>
          <w:tcPr>
            <w:tcW w:w="3120" w:type="dxa"/>
            <w:shd w:val="clear" w:color="auto" w:fill="CC9900"/>
            <w:tcMar>
              <w:top w:w="100" w:type="dxa"/>
              <w:left w:w="140" w:type="dxa"/>
              <w:bottom w:w="100" w:type="dxa"/>
              <w:right w:w="140" w:type="dxa"/>
            </w:tcMar>
          </w:tcPr>
          <w:p w14:paraId="6E3735D3" w14:textId="77777777" w:rsidR="00F8430A" w:rsidRDefault="00F8430A" w:rsidP="00A77441">
            <w:pPr>
              <w:jc w:val="center"/>
            </w:pPr>
            <w:r>
              <w:rPr>
                <w:rFonts w:ascii="Arial" w:eastAsia="Arial" w:hAnsi="Arial" w:cs="Arial"/>
                <w:b/>
                <w:bCs/>
                <w:color w:val="FFFFFF"/>
                <w:sz w:val="21"/>
                <w:szCs w:val="21"/>
              </w:rPr>
              <w:t>2nd Runner-up</w:t>
            </w:r>
          </w:p>
        </w:tc>
      </w:tr>
      <w:tr w:rsidR="00F8430A" w14:paraId="6747ADCC" w14:textId="77777777" w:rsidTr="00A77441">
        <w:tc>
          <w:tcPr>
            <w:tcW w:w="3120" w:type="dxa"/>
            <w:tcBorders>
              <w:top w:val="single" w:sz="1" w:space="0" w:color="CCCCCC"/>
              <w:bottom w:val="single" w:sz="1" w:space="0" w:color="CCCCCC"/>
            </w:tcBorders>
            <w:shd w:val="clear" w:color="auto" w:fill="EAF2FB"/>
            <w:tcMar>
              <w:top w:w="100" w:type="dxa"/>
              <w:left w:w="140" w:type="dxa"/>
              <w:bottom w:w="100" w:type="dxa"/>
              <w:right w:w="140" w:type="dxa"/>
            </w:tcMar>
          </w:tcPr>
          <w:p w14:paraId="6F50D1E3" w14:textId="77777777" w:rsidR="00F8430A" w:rsidRDefault="00F8430A" w:rsidP="00A77441">
            <w:pPr>
              <w:jc w:val="center"/>
            </w:pPr>
            <w:r>
              <w:rPr>
                <w:rFonts w:ascii="Arial" w:eastAsia="Arial" w:hAnsi="Arial" w:cs="Arial"/>
                <w:b/>
                <w:bCs/>
                <w:color w:val="333333"/>
                <w:sz w:val="22"/>
                <w:szCs w:val="22"/>
              </w:rPr>
              <w:t>50,000,000 VND</w:t>
            </w:r>
          </w:p>
        </w:tc>
        <w:tc>
          <w:tcPr>
            <w:tcW w:w="3120" w:type="dxa"/>
            <w:tcBorders>
              <w:top w:val="single" w:sz="1" w:space="0" w:color="CCCCCC"/>
              <w:bottom w:val="single" w:sz="1" w:space="0" w:color="CCCCCC"/>
            </w:tcBorders>
            <w:shd w:val="clear" w:color="auto" w:fill="FFFFFF"/>
            <w:tcMar>
              <w:top w:w="100" w:type="dxa"/>
              <w:left w:w="140" w:type="dxa"/>
              <w:bottom w:w="100" w:type="dxa"/>
              <w:right w:w="140" w:type="dxa"/>
            </w:tcMar>
          </w:tcPr>
          <w:p w14:paraId="0A90EE4D" w14:textId="77777777" w:rsidR="00F8430A" w:rsidRDefault="00F8430A" w:rsidP="00A77441">
            <w:pPr>
              <w:jc w:val="center"/>
            </w:pPr>
            <w:r>
              <w:rPr>
                <w:rFonts w:ascii="Arial" w:eastAsia="Arial" w:hAnsi="Arial" w:cs="Arial"/>
                <w:b/>
                <w:bCs/>
                <w:color w:val="333333"/>
                <w:sz w:val="22"/>
                <w:szCs w:val="22"/>
              </w:rPr>
              <w:t>30,000,000 VND</w:t>
            </w:r>
          </w:p>
        </w:tc>
        <w:tc>
          <w:tcPr>
            <w:tcW w:w="3120" w:type="dxa"/>
            <w:tcBorders>
              <w:top w:val="single" w:sz="1" w:space="0" w:color="CCCCCC"/>
              <w:bottom w:val="single" w:sz="1" w:space="0" w:color="CCCCCC"/>
            </w:tcBorders>
            <w:shd w:val="clear" w:color="auto" w:fill="EAF2FB"/>
            <w:tcMar>
              <w:top w:w="100" w:type="dxa"/>
              <w:left w:w="140" w:type="dxa"/>
              <w:bottom w:w="100" w:type="dxa"/>
              <w:right w:w="140" w:type="dxa"/>
            </w:tcMar>
          </w:tcPr>
          <w:p w14:paraId="7512A4C2" w14:textId="77777777" w:rsidR="00F8430A" w:rsidRDefault="00F8430A" w:rsidP="00A77441">
            <w:pPr>
              <w:jc w:val="center"/>
            </w:pPr>
            <w:r>
              <w:rPr>
                <w:rFonts w:ascii="Arial" w:eastAsia="Arial" w:hAnsi="Arial" w:cs="Arial"/>
                <w:b/>
                <w:bCs/>
                <w:color w:val="333333"/>
                <w:sz w:val="22"/>
                <w:szCs w:val="22"/>
              </w:rPr>
              <w:t>20,000,000 VND</w:t>
            </w:r>
          </w:p>
        </w:tc>
      </w:tr>
      <w:tr w:rsidR="00F8430A" w14:paraId="3EEBF137" w14:textId="77777777" w:rsidTr="00A77441">
        <w:tc>
          <w:tcPr>
            <w:tcW w:w="3120" w:type="dxa"/>
            <w:tcBorders>
              <w:top w:val="single" w:sz="1" w:space="0" w:color="CCCCCC"/>
              <w:bottom w:val="single" w:sz="1" w:space="0" w:color="CCCCCC"/>
            </w:tcBorders>
            <w:shd w:val="clear" w:color="auto" w:fill="FFFFFF"/>
            <w:tcMar>
              <w:top w:w="80" w:type="dxa"/>
              <w:left w:w="140" w:type="dxa"/>
              <w:bottom w:w="80" w:type="dxa"/>
              <w:right w:w="140" w:type="dxa"/>
            </w:tcMar>
          </w:tcPr>
          <w:p w14:paraId="43E346BF" w14:textId="77777777" w:rsidR="00F8430A" w:rsidRDefault="00F8430A" w:rsidP="00A77441">
            <w:pPr>
              <w:jc w:val="center"/>
            </w:pPr>
            <w:r>
              <w:rPr>
                <w:rFonts w:ascii="Arial" w:eastAsia="Arial" w:hAnsi="Arial" w:cs="Arial"/>
                <w:color w:val="555555"/>
                <w:sz w:val="19"/>
                <w:szCs w:val="19"/>
              </w:rPr>
              <w:t>Certificate + Trophy + Cash Prize</w:t>
            </w:r>
          </w:p>
        </w:tc>
        <w:tc>
          <w:tcPr>
            <w:tcW w:w="3120" w:type="dxa"/>
            <w:tcBorders>
              <w:top w:val="single" w:sz="1" w:space="0" w:color="CCCCCC"/>
              <w:bottom w:val="single" w:sz="1" w:space="0" w:color="CCCCCC"/>
            </w:tcBorders>
            <w:shd w:val="clear" w:color="auto" w:fill="FFFFFF"/>
            <w:tcMar>
              <w:top w:w="80" w:type="dxa"/>
              <w:left w:w="140" w:type="dxa"/>
              <w:bottom w:w="80" w:type="dxa"/>
              <w:right w:w="140" w:type="dxa"/>
            </w:tcMar>
          </w:tcPr>
          <w:p w14:paraId="011DECD9" w14:textId="77777777" w:rsidR="00F8430A" w:rsidRDefault="00F8430A" w:rsidP="00A77441">
            <w:pPr>
              <w:jc w:val="center"/>
            </w:pPr>
            <w:r>
              <w:rPr>
                <w:rFonts w:ascii="Arial" w:eastAsia="Arial" w:hAnsi="Arial" w:cs="Arial"/>
                <w:color w:val="555555"/>
                <w:sz w:val="19"/>
                <w:szCs w:val="19"/>
              </w:rPr>
              <w:t>Certificate + Trophy + Cash Prize</w:t>
            </w:r>
          </w:p>
        </w:tc>
        <w:tc>
          <w:tcPr>
            <w:tcW w:w="3120" w:type="dxa"/>
            <w:tcBorders>
              <w:top w:val="single" w:sz="1" w:space="0" w:color="CCCCCC"/>
              <w:bottom w:val="single" w:sz="1" w:space="0" w:color="CCCCCC"/>
            </w:tcBorders>
            <w:shd w:val="clear" w:color="auto" w:fill="FFFFFF"/>
            <w:tcMar>
              <w:top w:w="80" w:type="dxa"/>
              <w:left w:w="140" w:type="dxa"/>
              <w:bottom w:w="80" w:type="dxa"/>
              <w:right w:w="140" w:type="dxa"/>
            </w:tcMar>
          </w:tcPr>
          <w:p w14:paraId="7414040A" w14:textId="77777777" w:rsidR="00F8430A" w:rsidRDefault="00F8430A" w:rsidP="00A77441">
            <w:pPr>
              <w:jc w:val="center"/>
            </w:pPr>
            <w:r>
              <w:rPr>
                <w:rFonts w:ascii="Arial" w:eastAsia="Arial" w:hAnsi="Arial" w:cs="Arial"/>
                <w:color w:val="555555"/>
                <w:sz w:val="19"/>
                <w:szCs w:val="19"/>
              </w:rPr>
              <w:t>Certificate + Trophy + Cash Prize</w:t>
            </w:r>
          </w:p>
        </w:tc>
      </w:tr>
    </w:tbl>
    <w:p w14:paraId="7C919A7A" w14:textId="77777777" w:rsidR="00F8430A" w:rsidRDefault="00F8430A" w:rsidP="00F8430A">
      <w:pPr>
        <w:spacing w:after="80"/>
      </w:pPr>
    </w:p>
    <w:p w14:paraId="78E02FCE" w14:textId="77777777" w:rsidR="00F8430A" w:rsidRDefault="00F8430A" w:rsidP="007F3C72">
      <w:pPr>
        <w:spacing w:before="60" w:after="100"/>
        <w:jc w:val="both"/>
      </w:pPr>
      <w:r>
        <w:rPr>
          <w:rFonts w:ascii="Arial" w:eastAsia="Arial" w:hAnsi="Arial" w:cs="Arial"/>
          <w:color w:val="333333"/>
          <w:sz w:val="22"/>
          <w:szCs w:val="22"/>
        </w:rPr>
        <w:t>All finalist teams receive official VFCC certificates of participation. The Champion, 1st Runner-up, and 2nd Runner-up additionally receive trophies and the cash prizes listed above.</w:t>
      </w:r>
    </w:p>
    <w:p w14:paraId="4B96EAD8" w14:textId="77777777" w:rsidR="00F8430A" w:rsidRDefault="00F8430A" w:rsidP="007F3C72">
      <w:pPr>
        <w:pBdr>
          <w:bottom w:val="single" w:sz="6" w:space="4" w:color="1B4F8A"/>
        </w:pBdr>
        <w:spacing w:before="340" w:after="120"/>
        <w:jc w:val="both"/>
      </w:pPr>
      <w:r>
        <w:rPr>
          <w:rFonts w:ascii="Arial" w:eastAsia="Arial" w:hAnsi="Arial" w:cs="Arial"/>
          <w:b/>
          <w:bCs/>
          <w:color w:val="1B4F8A"/>
          <w:sz w:val="26"/>
          <w:szCs w:val="26"/>
        </w:rPr>
        <w:t>9. Governance Structure</w:t>
      </w:r>
    </w:p>
    <w:p w14:paraId="77BC47CB" w14:textId="77777777" w:rsidR="00F8430A" w:rsidRDefault="00F8430A" w:rsidP="007F3C72">
      <w:pPr>
        <w:spacing w:before="60" w:after="100"/>
        <w:jc w:val="both"/>
      </w:pPr>
      <w:r>
        <w:rPr>
          <w:rFonts w:ascii="Arial" w:eastAsia="Arial" w:hAnsi="Arial" w:cs="Arial"/>
          <w:b/>
          <w:bCs/>
          <w:color w:val="333333"/>
          <w:sz w:val="22"/>
          <w:szCs w:val="22"/>
        </w:rPr>
        <w:t xml:space="preserve">Organizing Committee: </w:t>
      </w:r>
      <w:r>
        <w:rPr>
          <w:rFonts w:ascii="Arial" w:eastAsia="Arial" w:hAnsi="Arial" w:cs="Arial"/>
          <w:color w:val="333333"/>
          <w:sz w:val="22"/>
          <w:szCs w:val="22"/>
        </w:rPr>
        <w:t>Responsible for overall management, communications, registration, timeline execution, university coordination, sponsor relations, and final-round logistics.</w:t>
      </w:r>
    </w:p>
    <w:p w14:paraId="0D1B2319" w14:textId="77777777" w:rsidR="00F8430A" w:rsidRDefault="00F8430A" w:rsidP="007F3C72">
      <w:pPr>
        <w:spacing w:before="60" w:after="100"/>
        <w:jc w:val="both"/>
      </w:pPr>
      <w:r>
        <w:rPr>
          <w:rFonts w:ascii="Arial" w:eastAsia="Arial" w:hAnsi="Arial" w:cs="Arial"/>
          <w:b/>
          <w:bCs/>
          <w:color w:val="333333"/>
          <w:sz w:val="22"/>
          <w:szCs w:val="22"/>
        </w:rPr>
        <w:t xml:space="preserve">Academic Committee: </w:t>
      </w:r>
      <w:r>
        <w:rPr>
          <w:rFonts w:ascii="Arial" w:eastAsia="Arial" w:hAnsi="Arial" w:cs="Arial"/>
          <w:color w:val="333333"/>
          <w:sz w:val="22"/>
          <w:szCs w:val="22"/>
        </w:rPr>
        <w:t>Responsible for case development oversight, competition rules, workshop content, judging rubric, blind review procedures, and academic integrity matters.</w:t>
      </w:r>
    </w:p>
    <w:p w14:paraId="651E1C5E" w14:textId="77777777" w:rsidR="00F8430A" w:rsidRDefault="00F8430A" w:rsidP="007F3C72">
      <w:pPr>
        <w:spacing w:before="60" w:after="100"/>
        <w:jc w:val="both"/>
      </w:pPr>
      <w:r>
        <w:rPr>
          <w:rFonts w:ascii="Arial" w:eastAsia="Arial" w:hAnsi="Arial" w:cs="Arial"/>
          <w:b/>
          <w:bCs/>
          <w:color w:val="333333"/>
          <w:sz w:val="22"/>
          <w:szCs w:val="22"/>
        </w:rPr>
        <w:t xml:space="preserve">Official Judging Panel: </w:t>
      </w:r>
      <w:r>
        <w:rPr>
          <w:rFonts w:ascii="Arial" w:eastAsia="Arial" w:hAnsi="Arial" w:cs="Arial"/>
          <w:color w:val="333333"/>
          <w:sz w:val="22"/>
          <w:szCs w:val="22"/>
        </w:rPr>
        <w:t>Responsible for written screening and final-round evaluation. The judging pool will be mixed, weighted toward industry practitioners, and include both Vietnamese and international finance professionals where possible.</w:t>
      </w:r>
    </w:p>
    <w:p w14:paraId="4F333B62"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10. Academic Integrity and AI-Use Policy</w:t>
      </w:r>
    </w:p>
    <w:p w14:paraId="7B79F464" w14:textId="77777777" w:rsidR="00F8430A" w:rsidRDefault="00F8430A" w:rsidP="007F3C72">
      <w:pPr>
        <w:spacing w:before="60" w:after="100"/>
        <w:jc w:val="both"/>
      </w:pPr>
      <w:r>
        <w:rPr>
          <w:rFonts w:ascii="Arial" w:eastAsia="Arial" w:hAnsi="Arial" w:cs="Arial"/>
          <w:color w:val="333333"/>
          <w:sz w:val="22"/>
          <w:szCs w:val="22"/>
        </w:rPr>
        <w:t>All submitted work must be original. Teams may use AI tools only if use is disclosed via a written declaration specifying which tools were used and for what purpose. Teams remain fully responsible for all analysis, valuation, assumptions, and recommendations submitted under their name. AI tools may not substitute for the team's own judgment.</w:t>
      </w:r>
    </w:p>
    <w:p w14:paraId="10A19FB6" w14:textId="77777777" w:rsidR="00F8430A" w:rsidRDefault="00F8430A" w:rsidP="007F3C72">
      <w:pPr>
        <w:pBdr>
          <w:bottom w:val="single" w:sz="6" w:space="4" w:color="1B4F8A"/>
        </w:pBdr>
        <w:spacing w:before="340" w:after="120"/>
        <w:jc w:val="both"/>
      </w:pPr>
      <w:r>
        <w:rPr>
          <w:rFonts w:ascii="Arial" w:eastAsia="Arial" w:hAnsi="Arial" w:cs="Arial"/>
          <w:b/>
          <w:bCs/>
          <w:color w:val="1B4F8A"/>
          <w:sz w:val="26"/>
          <w:szCs w:val="26"/>
        </w:rPr>
        <w:t>11. What We Ask of Partner Universities</w:t>
      </w:r>
    </w:p>
    <w:p w14:paraId="2378B481" w14:textId="6C5B544E" w:rsidR="00F8430A" w:rsidRDefault="00F8430A" w:rsidP="007F3C72">
      <w:pPr>
        <w:pStyle w:val="ListParagraph"/>
        <w:numPr>
          <w:ilvl w:val="0"/>
          <w:numId w:val="1"/>
        </w:numPr>
        <w:spacing w:before="40" w:after="60"/>
        <w:contextualSpacing w:val="0"/>
        <w:jc w:val="both"/>
      </w:pPr>
      <w:r>
        <w:rPr>
          <w:rFonts w:ascii="Arial" w:eastAsia="Arial" w:hAnsi="Arial" w:cs="Arial"/>
          <w:color w:val="333333"/>
          <w:sz w:val="22"/>
          <w:szCs w:val="22"/>
        </w:rPr>
        <w:t xml:space="preserve">Formally nominate up to </w:t>
      </w:r>
      <w:r w:rsidR="006C5B2A">
        <w:rPr>
          <w:rFonts w:ascii="Arial" w:eastAsia="Arial" w:hAnsi="Arial" w:cs="Arial"/>
          <w:color w:val="333333"/>
          <w:sz w:val="22"/>
          <w:szCs w:val="22"/>
        </w:rPr>
        <w:t>3</w:t>
      </w:r>
      <w:r>
        <w:rPr>
          <w:rFonts w:ascii="Arial" w:eastAsia="Arial" w:hAnsi="Arial" w:cs="Arial"/>
          <w:color w:val="333333"/>
          <w:sz w:val="22"/>
          <w:szCs w:val="22"/>
        </w:rPr>
        <w:t xml:space="preserve"> eligible teams of 4 undergraduate students each.</w:t>
      </w:r>
    </w:p>
    <w:p w14:paraId="68B172DB" w14:textId="77777777" w:rsidR="00F8430A" w:rsidRDefault="00F8430A" w:rsidP="007F3C72">
      <w:pPr>
        <w:pStyle w:val="ListParagraph"/>
        <w:numPr>
          <w:ilvl w:val="0"/>
          <w:numId w:val="1"/>
        </w:numPr>
        <w:spacing w:before="40" w:after="60"/>
        <w:contextualSpacing w:val="0"/>
        <w:jc w:val="both"/>
      </w:pPr>
      <w:r>
        <w:rPr>
          <w:rFonts w:ascii="Arial" w:eastAsia="Arial" w:hAnsi="Arial" w:cs="Arial"/>
          <w:color w:val="333333"/>
          <w:sz w:val="22"/>
          <w:szCs w:val="22"/>
        </w:rPr>
        <w:t>Designate at least one faculty advisor to provide general guidance throughout the competition.</w:t>
      </w:r>
    </w:p>
    <w:p w14:paraId="7A902C06" w14:textId="77777777" w:rsidR="00F8430A" w:rsidRDefault="00F8430A" w:rsidP="007F3C72">
      <w:pPr>
        <w:pStyle w:val="ListParagraph"/>
        <w:numPr>
          <w:ilvl w:val="0"/>
          <w:numId w:val="1"/>
        </w:numPr>
        <w:spacing w:before="40" w:after="60"/>
        <w:contextualSpacing w:val="0"/>
        <w:jc w:val="both"/>
      </w:pPr>
      <w:r>
        <w:rPr>
          <w:rFonts w:ascii="Arial" w:eastAsia="Arial" w:hAnsi="Arial" w:cs="Arial"/>
          <w:color w:val="333333"/>
          <w:sz w:val="22"/>
          <w:szCs w:val="22"/>
        </w:rPr>
        <w:t>Communicate the VFCC opportunity to students and support participation in the optional VFAI workshop series.</w:t>
      </w:r>
    </w:p>
    <w:p w14:paraId="07F5D4AD" w14:textId="77777777" w:rsidR="00F8430A" w:rsidRDefault="00F8430A" w:rsidP="007F3C72">
      <w:pPr>
        <w:pStyle w:val="ListParagraph"/>
        <w:numPr>
          <w:ilvl w:val="0"/>
          <w:numId w:val="1"/>
        </w:numPr>
        <w:spacing w:before="40" w:after="60"/>
        <w:contextualSpacing w:val="0"/>
        <w:jc w:val="both"/>
      </w:pPr>
      <w:r>
        <w:rPr>
          <w:rFonts w:ascii="Arial" w:eastAsia="Arial" w:hAnsi="Arial" w:cs="Arial"/>
          <w:color w:val="333333"/>
          <w:sz w:val="22"/>
          <w:szCs w:val="22"/>
        </w:rPr>
        <w:t>Ensure finalist teams, if selected, are able to attend the in-person National Finale in Hanoi.</w:t>
      </w:r>
    </w:p>
    <w:p w14:paraId="7CEC92F0" w14:textId="77777777" w:rsidR="00F8430A" w:rsidRDefault="00F8430A" w:rsidP="007F3C72">
      <w:pPr>
        <w:spacing w:after="80"/>
        <w:jc w:val="both"/>
      </w:pPr>
    </w:p>
    <w:p w14:paraId="1ACDF3D5" w14:textId="6EEE32A8" w:rsidR="00F8430A" w:rsidRPr="0079769C" w:rsidRDefault="00E77C6A" w:rsidP="007F3C72">
      <w:pPr>
        <w:pBdr>
          <w:left w:val="single" w:sz="14" w:space="8" w:color="B8860B"/>
        </w:pBdr>
        <w:shd w:val="clear" w:color="auto" w:fill="FFF8E7"/>
        <w:spacing w:before="80" w:after="120"/>
        <w:jc w:val="both"/>
        <w:rPr>
          <w:rFonts w:ascii="Arial" w:eastAsia="Arial" w:hAnsi="Arial" w:cs="Arial"/>
          <w:color w:val="333333"/>
          <w:sz w:val="22"/>
          <w:szCs w:val="22"/>
        </w:rPr>
      </w:pPr>
      <w:r>
        <w:rPr>
          <w:rFonts w:ascii="Arial" w:eastAsia="Arial" w:hAnsi="Arial" w:cs="Arial"/>
          <w:color w:val="1B4F8A"/>
          <w:sz w:val="22"/>
          <w:szCs w:val="22"/>
        </w:rPr>
        <w:t>N</w:t>
      </w:r>
      <w:r w:rsidR="00F8430A">
        <w:rPr>
          <w:rFonts w:ascii="Arial" w:eastAsia="Arial" w:hAnsi="Arial" w:cs="Arial"/>
          <w:color w:val="1B4F8A"/>
          <w:sz w:val="22"/>
          <w:szCs w:val="22"/>
        </w:rPr>
        <w:t>o participation fee will be charged to partner universities in the inaugural year of the competition.</w:t>
      </w:r>
    </w:p>
    <w:p w14:paraId="7E7359EB" w14:textId="77777777" w:rsidR="00F8430A" w:rsidRDefault="00F8430A" w:rsidP="00F8430A">
      <w:pPr>
        <w:pBdr>
          <w:bottom w:val="single" w:sz="6" w:space="4" w:color="1B4F8A"/>
        </w:pBdr>
        <w:spacing w:before="340" w:after="120"/>
      </w:pPr>
      <w:r>
        <w:rPr>
          <w:rFonts w:ascii="Arial" w:eastAsia="Arial" w:hAnsi="Arial" w:cs="Arial"/>
          <w:b/>
          <w:bCs/>
          <w:color w:val="1B4F8A"/>
          <w:sz w:val="26"/>
          <w:szCs w:val="26"/>
        </w:rPr>
        <w:t>12. Contact and Next Steps</w:t>
      </w:r>
    </w:p>
    <w:p w14:paraId="2A4D81A3" w14:textId="77777777" w:rsidR="00F8430A" w:rsidRDefault="00F8430A" w:rsidP="007F3C72">
      <w:pPr>
        <w:spacing w:before="60" w:after="100"/>
        <w:jc w:val="both"/>
      </w:pPr>
      <w:r>
        <w:rPr>
          <w:rFonts w:ascii="Arial" w:eastAsia="Arial" w:hAnsi="Arial" w:cs="Arial"/>
          <w:color w:val="333333"/>
          <w:sz w:val="22"/>
          <w:szCs w:val="22"/>
        </w:rPr>
        <w:t>To confirm your institution's participation as an inaugural partner, please contact us via the details below.</w:t>
      </w:r>
    </w:p>
    <w:p w14:paraId="1E276EC2" w14:textId="69D0C1B8" w:rsidR="00E723E2" w:rsidRDefault="00F8430A" w:rsidP="007F3C72">
      <w:pPr>
        <w:spacing w:before="60" w:after="100"/>
        <w:jc w:val="both"/>
        <w:rPr>
          <w:rFonts w:ascii="Arial" w:eastAsia="Arial" w:hAnsi="Arial" w:cs="Arial"/>
          <w:i/>
          <w:iCs/>
          <w:sz w:val="22"/>
          <w:szCs w:val="22"/>
        </w:rPr>
      </w:pPr>
      <w:r>
        <w:rPr>
          <w:rFonts w:ascii="Arial" w:eastAsia="Arial" w:hAnsi="Arial" w:cs="Arial"/>
          <w:i/>
          <w:iCs/>
          <w:sz w:val="22"/>
          <w:szCs w:val="22"/>
        </w:rPr>
        <w:lastRenderedPageBreak/>
        <w:t>For organizations wishing to support the VFCC through sponsorship, we have a separate sponsorship framework with dedicated benefits at each tier. Please contact us for more information.</w:t>
      </w:r>
    </w:p>
    <w:p w14:paraId="4A484D85" w14:textId="77777777" w:rsidR="00D909B3" w:rsidRDefault="00D909B3" w:rsidP="00F8430A">
      <w:pPr>
        <w:spacing w:before="60" w:after="100"/>
        <w:rPr>
          <w:rFonts w:ascii="Arial" w:eastAsia="Arial" w:hAnsi="Arial" w:cs="Arial"/>
          <w:b/>
          <w:bCs/>
          <w:color w:val="333333"/>
          <w:sz w:val="22"/>
          <w:szCs w:val="22"/>
        </w:rPr>
      </w:pPr>
    </w:p>
    <w:p w14:paraId="651ECCF7" w14:textId="548D42CB" w:rsidR="00807A37" w:rsidRDefault="00F8430A" w:rsidP="00F8430A">
      <w:pPr>
        <w:spacing w:before="60" w:after="100"/>
        <w:rPr>
          <w:rFonts w:ascii="Arial" w:eastAsia="Arial" w:hAnsi="Arial" w:cs="Arial"/>
          <w:color w:val="333333"/>
          <w:sz w:val="22"/>
          <w:szCs w:val="22"/>
        </w:rPr>
      </w:pPr>
      <w:r>
        <w:rPr>
          <w:rFonts w:ascii="Arial" w:eastAsia="Arial" w:hAnsi="Arial" w:cs="Arial"/>
          <w:b/>
          <w:bCs/>
          <w:color w:val="333333"/>
          <w:sz w:val="22"/>
          <w:szCs w:val="22"/>
        </w:rPr>
        <w:t xml:space="preserve">Email: </w:t>
      </w:r>
      <w:r w:rsidR="00807A37" w:rsidRPr="00807A37">
        <w:rPr>
          <w:rFonts w:ascii="Arial" w:eastAsia="Arial" w:hAnsi="Arial" w:cs="Arial"/>
          <w:color w:val="333333"/>
          <w:sz w:val="22"/>
          <w:szCs w:val="22"/>
        </w:rPr>
        <w:t>Dr. Hieu Phan, VFAI President,</w:t>
      </w:r>
      <w:r w:rsidR="00807A37">
        <w:rPr>
          <w:rFonts w:ascii="Arial" w:eastAsia="Arial" w:hAnsi="Arial" w:cs="Arial"/>
          <w:b/>
          <w:bCs/>
          <w:color w:val="333333"/>
          <w:sz w:val="22"/>
          <w:szCs w:val="22"/>
        </w:rPr>
        <w:t xml:space="preserve"> </w:t>
      </w:r>
      <w:r>
        <w:rPr>
          <w:rFonts w:ascii="Arial" w:eastAsia="Arial" w:hAnsi="Arial" w:cs="Arial"/>
          <w:color w:val="333333"/>
          <w:sz w:val="22"/>
          <w:szCs w:val="22"/>
        </w:rPr>
        <w:t>hieu_phan@uml.edu</w:t>
      </w:r>
      <w:r w:rsidR="00807A37">
        <w:rPr>
          <w:rFonts w:ascii="Arial" w:eastAsia="Arial" w:hAnsi="Arial" w:cs="Arial"/>
          <w:color w:val="333333"/>
          <w:sz w:val="22"/>
          <w:szCs w:val="22"/>
        </w:rPr>
        <w:t xml:space="preserve"> </w:t>
      </w:r>
    </w:p>
    <w:p w14:paraId="2A07EF21" w14:textId="186B3D63" w:rsidR="00F8430A" w:rsidRDefault="00807A37" w:rsidP="00807A37">
      <w:pPr>
        <w:spacing w:before="60" w:after="100"/>
        <w:ind w:firstLine="720"/>
      </w:pPr>
      <w:r>
        <w:rPr>
          <w:rFonts w:ascii="Arial" w:eastAsia="Arial" w:hAnsi="Arial" w:cs="Arial"/>
          <w:color w:val="333333"/>
          <w:sz w:val="22"/>
          <w:szCs w:val="22"/>
        </w:rPr>
        <w:t xml:space="preserve">Dr. My Nguyen, VFAI Vice President, </w:t>
      </w:r>
      <w:r w:rsidR="00F8430A">
        <w:rPr>
          <w:rFonts w:ascii="Arial" w:eastAsia="Arial" w:hAnsi="Arial" w:cs="Arial"/>
          <w:color w:val="333333"/>
          <w:sz w:val="22"/>
          <w:szCs w:val="22"/>
        </w:rPr>
        <w:t>my.nguyen@rmit.edu.au</w:t>
      </w:r>
    </w:p>
    <w:p w14:paraId="0D6D7EC3" w14:textId="5608A020" w:rsidR="00F8430A" w:rsidRDefault="00F8430A" w:rsidP="00F8430A">
      <w:pPr>
        <w:spacing w:before="60" w:after="100"/>
      </w:pPr>
      <w:r>
        <w:rPr>
          <w:rFonts w:ascii="Arial" w:eastAsia="Arial" w:hAnsi="Arial" w:cs="Arial"/>
          <w:b/>
          <w:bCs/>
          <w:color w:val="333333"/>
          <w:sz w:val="22"/>
          <w:szCs w:val="22"/>
        </w:rPr>
        <w:t xml:space="preserve">Confirmation deadline: </w:t>
      </w:r>
      <w:r w:rsidR="00EF5736">
        <w:rPr>
          <w:rFonts w:ascii="Arial" w:eastAsia="Arial" w:hAnsi="Arial" w:cs="Arial"/>
          <w:b/>
          <w:bCs/>
          <w:color w:val="333333"/>
          <w:sz w:val="22"/>
          <w:szCs w:val="22"/>
        </w:rPr>
        <w:t>TBD</w:t>
      </w:r>
    </w:p>
    <w:p w14:paraId="3CA4B40A" w14:textId="77777777" w:rsidR="00F8430A" w:rsidRDefault="00F8430A" w:rsidP="00F8430A">
      <w:pPr>
        <w:spacing w:after="80"/>
      </w:pPr>
    </w:p>
    <w:p w14:paraId="34896DCB" w14:textId="0746D96B" w:rsidR="000272D7" w:rsidRDefault="00F8430A" w:rsidP="00F11B0E">
      <w:pPr>
        <w:spacing w:before="60" w:after="100"/>
        <w:jc w:val="both"/>
      </w:pPr>
      <w:r>
        <w:rPr>
          <w:rFonts w:ascii="Arial" w:eastAsia="Arial" w:hAnsi="Arial" w:cs="Arial"/>
          <w:color w:val="333333"/>
          <w:sz w:val="22"/>
          <w:szCs w:val="22"/>
        </w:rPr>
        <w:t xml:space="preserve">We warmly look forward to welcoming your institution as a founding partner of the </w:t>
      </w:r>
      <w:r w:rsidR="000272D7">
        <w:rPr>
          <w:rFonts w:ascii="Arial" w:eastAsia="Arial" w:hAnsi="Arial" w:cs="Arial"/>
          <w:color w:val="333333"/>
          <w:sz w:val="22"/>
          <w:szCs w:val="22"/>
        </w:rPr>
        <w:t xml:space="preserve">inaugural </w:t>
      </w:r>
      <w:r>
        <w:rPr>
          <w:rFonts w:ascii="Arial" w:eastAsia="Arial" w:hAnsi="Arial" w:cs="Arial"/>
          <w:color w:val="333333"/>
          <w:sz w:val="22"/>
          <w:szCs w:val="22"/>
        </w:rPr>
        <w:t xml:space="preserve">Vietnam Finance Case </w:t>
      </w:r>
      <w:r w:rsidR="00B15DA0">
        <w:rPr>
          <w:rFonts w:ascii="Arial" w:eastAsia="Arial" w:hAnsi="Arial" w:cs="Arial"/>
          <w:color w:val="333333"/>
          <w:sz w:val="22"/>
          <w:szCs w:val="22"/>
        </w:rPr>
        <w:t>Competition</w:t>
      </w:r>
      <w:r w:rsidR="000272D7">
        <w:rPr>
          <w:rFonts w:ascii="Arial" w:eastAsia="Arial" w:hAnsi="Arial" w:cs="Arial"/>
          <w:color w:val="333333"/>
          <w:sz w:val="22"/>
          <w:szCs w:val="22"/>
        </w:rPr>
        <w:t xml:space="preserve"> 2026!</w:t>
      </w:r>
    </w:p>
    <w:sectPr w:rsidR="000272D7" w:rsidSect="00F8430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9A1C4" w14:textId="77777777" w:rsidR="008C6A56" w:rsidRDefault="008C6A56" w:rsidP="00F8430A">
      <w:r>
        <w:separator/>
      </w:r>
    </w:p>
  </w:endnote>
  <w:endnote w:type="continuationSeparator" w:id="0">
    <w:p w14:paraId="68D2B3BA" w14:textId="77777777" w:rsidR="008C6A56" w:rsidRDefault="008C6A56" w:rsidP="00F8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F592F8" w14:textId="77777777" w:rsidR="008C6A56" w:rsidRDefault="008C6A56" w:rsidP="00F8430A">
      <w:r>
        <w:separator/>
      </w:r>
    </w:p>
  </w:footnote>
  <w:footnote w:type="continuationSeparator" w:id="0">
    <w:p w14:paraId="49FD0048" w14:textId="77777777" w:rsidR="008C6A56" w:rsidRDefault="008C6A56" w:rsidP="00F84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0B58D7"/>
    <w:multiLevelType w:val="hybridMultilevel"/>
    <w:tmpl w:val="EAE4DF00"/>
    <w:lvl w:ilvl="0" w:tplc="A81013EC">
      <w:start w:val="1"/>
      <w:numFmt w:val="bullet"/>
      <w:lvlText w:val="•"/>
      <w:lvlJc w:val="left"/>
      <w:pPr>
        <w:ind w:left="720" w:hanging="360"/>
      </w:pPr>
    </w:lvl>
    <w:lvl w:ilvl="1" w:tplc="B6D2260A">
      <w:numFmt w:val="decimal"/>
      <w:lvlText w:val=""/>
      <w:lvlJc w:val="left"/>
    </w:lvl>
    <w:lvl w:ilvl="2" w:tplc="AC525462">
      <w:numFmt w:val="decimal"/>
      <w:lvlText w:val=""/>
      <w:lvlJc w:val="left"/>
    </w:lvl>
    <w:lvl w:ilvl="3" w:tplc="B2B0BC78">
      <w:numFmt w:val="decimal"/>
      <w:lvlText w:val=""/>
      <w:lvlJc w:val="left"/>
    </w:lvl>
    <w:lvl w:ilvl="4" w:tplc="D9040E82">
      <w:numFmt w:val="decimal"/>
      <w:lvlText w:val=""/>
      <w:lvlJc w:val="left"/>
    </w:lvl>
    <w:lvl w:ilvl="5" w:tplc="E97841D6">
      <w:numFmt w:val="decimal"/>
      <w:lvlText w:val=""/>
      <w:lvlJc w:val="left"/>
    </w:lvl>
    <w:lvl w:ilvl="6" w:tplc="131C9426">
      <w:numFmt w:val="decimal"/>
      <w:lvlText w:val=""/>
      <w:lvlJc w:val="left"/>
    </w:lvl>
    <w:lvl w:ilvl="7" w:tplc="097057AA">
      <w:numFmt w:val="decimal"/>
      <w:lvlText w:val=""/>
      <w:lvlJc w:val="left"/>
    </w:lvl>
    <w:lvl w:ilvl="8" w:tplc="88360FE8">
      <w:numFmt w:val="decimal"/>
      <w:lvlText w:val=""/>
      <w:lvlJc w:val="left"/>
    </w:lvl>
  </w:abstractNum>
  <w:num w:numId="1" w16cid:durableId="13414677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0A"/>
    <w:rsid w:val="000272D7"/>
    <w:rsid w:val="00075213"/>
    <w:rsid w:val="00134148"/>
    <w:rsid w:val="00172402"/>
    <w:rsid w:val="0028606E"/>
    <w:rsid w:val="00294300"/>
    <w:rsid w:val="00353EF6"/>
    <w:rsid w:val="004749C1"/>
    <w:rsid w:val="00522DB2"/>
    <w:rsid w:val="00564200"/>
    <w:rsid w:val="00613900"/>
    <w:rsid w:val="006C1EAC"/>
    <w:rsid w:val="006C5B2A"/>
    <w:rsid w:val="007461CD"/>
    <w:rsid w:val="00774A45"/>
    <w:rsid w:val="007C6B2B"/>
    <w:rsid w:val="007E1C60"/>
    <w:rsid w:val="007F3C72"/>
    <w:rsid w:val="00807A37"/>
    <w:rsid w:val="008C6A56"/>
    <w:rsid w:val="00A04541"/>
    <w:rsid w:val="00A4691A"/>
    <w:rsid w:val="00B15DA0"/>
    <w:rsid w:val="00C0173A"/>
    <w:rsid w:val="00C72D37"/>
    <w:rsid w:val="00C85EFB"/>
    <w:rsid w:val="00C935F6"/>
    <w:rsid w:val="00D77514"/>
    <w:rsid w:val="00D909B3"/>
    <w:rsid w:val="00DE2836"/>
    <w:rsid w:val="00E142F7"/>
    <w:rsid w:val="00E14D3C"/>
    <w:rsid w:val="00E159CF"/>
    <w:rsid w:val="00E723E2"/>
    <w:rsid w:val="00E77C6A"/>
    <w:rsid w:val="00EF5736"/>
    <w:rsid w:val="00F11B0E"/>
    <w:rsid w:val="00F8430A"/>
    <w:rsid w:val="00FB3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B9C2"/>
  <w15:chartTrackingRefBased/>
  <w15:docId w15:val="{AFDE41E8-8A0C-463B-966E-E810B643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30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84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3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3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3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3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30A"/>
    <w:rPr>
      <w:rFonts w:eastAsiaTheme="majorEastAsia" w:cstheme="majorBidi"/>
      <w:color w:val="272727" w:themeColor="text1" w:themeTint="D8"/>
    </w:rPr>
  </w:style>
  <w:style w:type="paragraph" w:styleId="Title">
    <w:name w:val="Title"/>
    <w:basedOn w:val="Normal"/>
    <w:next w:val="Normal"/>
    <w:link w:val="TitleChar"/>
    <w:uiPriority w:val="10"/>
    <w:qFormat/>
    <w:rsid w:val="00F843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0A"/>
    <w:pPr>
      <w:spacing w:before="160"/>
      <w:jc w:val="center"/>
    </w:pPr>
    <w:rPr>
      <w:i/>
      <w:iCs/>
      <w:color w:val="404040" w:themeColor="text1" w:themeTint="BF"/>
    </w:rPr>
  </w:style>
  <w:style w:type="character" w:customStyle="1" w:styleId="QuoteChar">
    <w:name w:val="Quote Char"/>
    <w:basedOn w:val="DefaultParagraphFont"/>
    <w:link w:val="Quote"/>
    <w:uiPriority w:val="29"/>
    <w:rsid w:val="00F8430A"/>
    <w:rPr>
      <w:i/>
      <w:iCs/>
      <w:color w:val="404040" w:themeColor="text1" w:themeTint="BF"/>
    </w:rPr>
  </w:style>
  <w:style w:type="paragraph" w:styleId="ListParagraph">
    <w:name w:val="List Paragraph"/>
    <w:basedOn w:val="Normal"/>
    <w:qFormat/>
    <w:rsid w:val="00F8430A"/>
    <w:pPr>
      <w:ind w:left="720"/>
      <w:contextualSpacing/>
    </w:pPr>
  </w:style>
  <w:style w:type="character" w:styleId="IntenseEmphasis">
    <w:name w:val="Intense Emphasis"/>
    <w:basedOn w:val="DefaultParagraphFont"/>
    <w:uiPriority w:val="21"/>
    <w:qFormat/>
    <w:rsid w:val="00F8430A"/>
    <w:rPr>
      <w:i/>
      <w:iCs/>
      <w:color w:val="0F4761" w:themeColor="accent1" w:themeShade="BF"/>
    </w:rPr>
  </w:style>
  <w:style w:type="paragraph" w:styleId="IntenseQuote">
    <w:name w:val="Intense Quote"/>
    <w:basedOn w:val="Normal"/>
    <w:next w:val="Normal"/>
    <w:link w:val="IntenseQuoteChar"/>
    <w:uiPriority w:val="30"/>
    <w:qFormat/>
    <w:rsid w:val="00F84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30A"/>
    <w:rPr>
      <w:i/>
      <w:iCs/>
      <w:color w:val="0F4761" w:themeColor="accent1" w:themeShade="BF"/>
    </w:rPr>
  </w:style>
  <w:style w:type="character" w:styleId="IntenseReference">
    <w:name w:val="Intense Reference"/>
    <w:basedOn w:val="DefaultParagraphFont"/>
    <w:uiPriority w:val="32"/>
    <w:qFormat/>
    <w:rsid w:val="00F8430A"/>
    <w:rPr>
      <w:b/>
      <w:bCs/>
      <w:smallCaps/>
      <w:color w:val="0F4761" w:themeColor="accent1" w:themeShade="BF"/>
      <w:spacing w:val="5"/>
    </w:rPr>
  </w:style>
  <w:style w:type="paragraph" w:styleId="Header">
    <w:name w:val="header"/>
    <w:basedOn w:val="Normal"/>
    <w:link w:val="HeaderChar"/>
    <w:uiPriority w:val="99"/>
    <w:unhideWhenUsed/>
    <w:rsid w:val="00F8430A"/>
    <w:pPr>
      <w:tabs>
        <w:tab w:val="center" w:pos="4680"/>
        <w:tab w:val="right" w:pos="9360"/>
      </w:tabs>
    </w:pPr>
  </w:style>
  <w:style w:type="character" w:customStyle="1" w:styleId="HeaderChar">
    <w:name w:val="Header Char"/>
    <w:basedOn w:val="DefaultParagraphFont"/>
    <w:link w:val="Header"/>
    <w:uiPriority w:val="99"/>
    <w:rsid w:val="00F8430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8430A"/>
    <w:pPr>
      <w:tabs>
        <w:tab w:val="center" w:pos="4680"/>
        <w:tab w:val="right" w:pos="9360"/>
      </w:tabs>
    </w:pPr>
  </w:style>
  <w:style w:type="character" w:customStyle="1" w:styleId="FooterChar">
    <w:name w:val="Footer Char"/>
    <w:basedOn w:val="DefaultParagraphFont"/>
    <w:link w:val="Footer"/>
    <w:uiPriority w:val="99"/>
    <w:rsid w:val="00F8430A"/>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807A37"/>
    <w:rPr>
      <w:color w:val="467886" w:themeColor="hyperlink"/>
      <w:u w:val="single"/>
    </w:rPr>
  </w:style>
  <w:style w:type="character" w:styleId="UnresolvedMention">
    <w:name w:val="Unresolved Mention"/>
    <w:basedOn w:val="DefaultParagraphFont"/>
    <w:uiPriority w:val="99"/>
    <w:semiHidden/>
    <w:unhideWhenUsed/>
    <w:rsid w:val="00807A37"/>
    <w:rPr>
      <w:color w:val="605E5C"/>
      <w:shd w:val="clear" w:color="auto" w:fill="E1DFDD"/>
    </w:rPr>
  </w:style>
  <w:style w:type="paragraph" w:styleId="Revision">
    <w:name w:val="Revision"/>
    <w:hidden/>
    <w:uiPriority w:val="99"/>
    <w:semiHidden/>
    <w:rsid w:val="00DE2836"/>
    <w:pPr>
      <w:spacing w:after="0" w:line="240" w:lineRule="auto"/>
    </w:pPr>
    <w:rPr>
      <w:rFonts w:ascii="Times New Roman" w:eastAsia="Times New Roman" w:hAnsi="Times New Roman" w:cs="Times New Roman"/>
      <w:kern w:val="0"/>
      <w:sz w:val="20"/>
      <w:szCs w:val="20"/>
      <w14:ligatures w14:val="none"/>
    </w:rPr>
  </w:style>
  <w:style w:type="table" w:styleId="GridTable4-Accent1">
    <w:name w:val="Grid Table 4 Accent 1"/>
    <w:basedOn w:val="TableNormal"/>
    <w:uiPriority w:val="49"/>
    <w:rsid w:val="00DE283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DE283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DE283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1Light-Accent1">
    <w:name w:val="List Table 1 Light Accent 1"/>
    <w:basedOn w:val="TableNormal"/>
    <w:uiPriority w:val="46"/>
    <w:rsid w:val="00DE2836"/>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4">
    <w:name w:val="List Table 1 Light Accent 4"/>
    <w:basedOn w:val="TableNormal"/>
    <w:uiPriority w:val="46"/>
    <w:rsid w:val="00DE2836"/>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Hieu V</dc:creator>
  <cp:keywords/>
  <dc:description/>
  <cp:lastModifiedBy>DAO NGOC MINH 1</cp:lastModifiedBy>
  <cp:revision>2</cp:revision>
  <dcterms:created xsi:type="dcterms:W3CDTF">2026-09-15T14:44:00Z</dcterms:created>
  <dcterms:modified xsi:type="dcterms:W3CDTF">2026-09-15T14:44:00Z</dcterms:modified>
</cp:coreProperties>
</file>