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rFonts w:ascii="Aptos" w:hAnsi="Aptos"/>
        </w:rPr>
        <w:t>VFCC 2026 Week 2 Content</w:t>
      </w:r>
    </w:p>
    <w:p>
      <w:pPr>
        <w:widowControl/>
        <w:spacing w:after="360"/>
      </w:pPr>
      <w:r>
        <w:rPr>
          <w:rFonts w:ascii="Aptos" w:hAnsi="Aptos"/>
          <w:b/>
          <w:color w:val="000000"/>
          <w:sz w:val="32"/>
        </w:rPr>
        <w:t>Historical Analysis and Forecast Architecture</w:t>
      </w:r>
    </w:p>
    <w:p>
      <w:pPr>
        <w:widowControl/>
        <w:spacing w:after="320"/>
      </w:pPr>
      <w:r>
        <w:rPr>
          <w:rFonts w:ascii="Aptos" w:hAnsi="Aptos"/>
          <w:b/>
          <w:sz w:val="22"/>
        </w:rPr>
        <w:t>Purpose</w:t>
      </w:r>
      <w:r>
        <w:rPr>
          <w:rFonts w:ascii="Aptos" w:hAnsi="Aptos"/>
        </w:rPr>
        <w:t xml:space="preserve">  Build a traceable three-year historical model and a driver-based five-year forecast that can support valuation, due diligence, and a board-level recommendation.</w:t>
      </w:r>
    </w:p>
    <w:tbl>
      <w:tblPr>
        <w:tblW w:type="auto" w:w="0"/>
        <w:jc w:val="center"/>
        <w:tblLayout w:type="fixed"/>
        <w:tblLook w:firstColumn="1" w:firstRow="1" w:lastColumn="0" w:lastRow="0" w:noHBand="0" w:noVBand="1" w:val="04A0"/>
      </w:tblPr>
      <w:tblGrid>
        <w:gridCol w:w="5026"/>
        <w:gridCol w:w="5026"/>
      </w:tblGrid>
      <w:tr>
        <w:trPr>
          <w:tblHeader w:val="true"/>
          <w:cantSplit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8"/>
              </w:rPr>
              <w:t>Week 2 requirement</w:t>
            </w:r>
          </w:p>
        </w:tc>
        <w:tc>
          <w:tcPr>
            <w:tcW w:type="dxa" w:w="74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8"/>
              </w:rPr>
              <w:t>Prepared content</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8"/>
              </w:rPr>
              <w:t>Objective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8"/>
              </w:rPr>
              <w:t>Translate financial statements into operating drivers and explicit forecast assumptions.</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8"/>
              </w:rPr>
              <w:t>Topics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8"/>
              </w:rPr>
              <w:t>Revenue and margin bridges; working capital; capex and depreciation; debt and cash; normalisation; accounting quality; EV-to-equity bridge; scenarios; circularity; checks.</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8"/>
              </w:rPr>
              <w:t>Team output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8"/>
              </w:rPr>
              <w:t>Three-year historical model; five-year forecast; source and assumption register; error-check panel.</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8"/>
              </w:rPr>
              <w:t>Mastery standard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8"/>
              </w:rPr>
              <w:t>Every formula traces to a source or assumption, key flows reconcile, and the base case can be explained operationally.</w:t>
            </w:r>
          </w:p>
        </w:tc>
      </w:tr>
    </w:tbl>
    <w:p>
      <w:pPr>
        <w:widowControl/>
        <w:spacing w:after="40"/>
      </w:pPr>
    </w:p>
    <w:p>
      <w:pPr>
        <w:widowControl/>
        <w:spacing w:before="280" w:after="80"/>
      </w:pPr>
      <w:r>
        <w:rPr>
          <w:rFonts w:ascii="Aptos" w:hAnsi="Aptos"/>
          <w:b/>
        </w:rPr>
        <w:t>How to use this module</w:t>
      </w:r>
    </w:p>
    <w:p>
      <w:pPr>
        <w:pStyle w:val="ListBullet"/>
        <w:widowControl/>
        <w:spacing w:after="60"/>
      </w:pPr>
      <w:r>
        <w:rPr>
          <w:rFonts w:ascii="Aptos" w:hAnsi="Aptos"/>
        </w:rPr>
        <w:t>Before the team session, read the two paper summaries and review the assigned OpenTuition materials.</w:t>
      </w:r>
    </w:p>
    <w:p>
      <w:pPr>
        <w:pStyle w:val="ListBullet"/>
        <w:widowControl/>
        <w:spacing w:after="60"/>
      </w:pPr>
      <w:r>
        <w:rPr>
          <w:rFonts w:ascii="Aptos" w:hAnsi="Aptos"/>
        </w:rPr>
        <w:t>During the session, build the historical model before debating valuation. Separate reported facts, normalisation judgments, and forecast assumptions.</w:t>
      </w:r>
    </w:p>
    <w:p>
      <w:pPr>
        <w:pStyle w:val="ListBullet"/>
        <w:widowControl/>
        <w:spacing w:after="60"/>
      </w:pPr>
      <w:r>
        <w:rPr>
          <w:rFonts w:ascii="Aptos" w:hAnsi="Aptos"/>
        </w:rPr>
        <w:t>After the session, complete the worked case and subject the model to an independent formula and source review.</w:t>
      </w:r>
    </w:p>
    <w:p>
      <w:pPr>
        <w:pStyle w:val="SmallNote"/>
        <w:widowControl/>
      </w:pPr>
      <w:r>
        <w:rPr>
          <w:rFonts w:ascii="Aptos" w:hAnsi="Aptos"/>
        </w:rPr>
        <w:t>Prepared 17 September 2026. Source links were checked on that date. OpenTuition material is used as practical study support; the two peer-reviewed papers provide the research evidence assigned in the syllabus.</w:t>
      </w:r>
    </w:p>
    <w:p>
      <w:pPr>
        <w:widowControl/>
      </w:pPr>
      <w:r>
        <w:rPr>
          <w:rFonts w:ascii="Aptos" w:hAnsi="Aptos"/>
        </w:rPr>
        <w:br w:type="page"/>
      </w:r>
    </w:p>
    <w:p>
      <w:pPr>
        <w:pStyle w:val="Heading1"/>
        <w:keepNext/>
        <w:widowControl/>
      </w:pPr>
      <w:r>
        <w:rPr>
          <w:rFonts w:ascii="Aptos" w:hAnsi="Aptos"/>
        </w:rPr>
        <w:t>Learning Outcomes and Weekly Plan</w:t>
      </w:r>
    </w:p>
    <w:p>
      <w:pPr>
        <w:widowControl/>
      </w:pPr>
      <w:r>
        <w:rPr>
          <w:rFonts w:ascii="Aptos" w:hAnsi="Aptos"/>
        </w:rPr>
        <w:t>By the end of Week 2, each team member should be able to do the following without relying on a pre-built valuation template.</w:t>
      </w:r>
    </w:p>
    <w:p>
      <w:pPr>
        <w:pStyle w:val="ListBullet"/>
        <w:widowControl/>
        <w:spacing w:after="60"/>
      </w:pPr>
      <w:r>
        <w:rPr>
          <w:rFonts w:ascii="Aptos" w:hAnsi="Aptos"/>
          <w:b/>
        </w:rPr>
        <w:t xml:space="preserve">Reconstruct the economics. </w:t>
      </w:r>
      <w:r>
        <w:rPr>
          <w:rFonts w:ascii="Aptos" w:hAnsi="Aptos"/>
        </w:rPr>
        <w:t>Convert reported statements and notes into a consistent historical dataset, distinguishing operating items from financing and non-operating items.</w:t>
      </w:r>
    </w:p>
    <w:p>
      <w:pPr>
        <w:pStyle w:val="ListBullet"/>
        <w:widowControl/>
        <w:spacing w:after="60"/>
      </w:pPr>
      <w:r>
        <w:rPr>
          <w:rFonts w:ascii="Aptos" w:hAnsi="Aptos"/>
          <w:b/>
        </w:rPr>
        <w:t xml:space="preserve">Assess reporting quality. </w:t>
      </w:r>
      <w:r>
        <w:rPr>
          <w:rFonts w:ascii="Aptos" w:hAnsi="Aptos"/>
        </w:rPr>
        <w:t>Identify signals that earnings, assets, liabilities, or cash conversion may not faithfully represent sustainable performance.</w:t>
      </w:r>
    </w:p>
    <w:p>
      <w:pPr>
        <w:pStyle w:val="ListBullet"/>
        <w:widowControl/>
        <w:spacing w:after="60"/>
      </w:pPr>
      <w:r>
        <w:rPr>
          <w:rFonts w:ascii="Aptos" w:hAnsi="Aptos"/>
          <w:b/>
        </w:rPr>
        <w:t xml:space="preserve">Normalise performance. </w:t>
      </w:r>
      <w:r>
        <w:rPr>
          <w:rFonts w:ascii="Aptos" w:hAnsi="Aptos"/>
        </w:rPr>
        <w:t>Separate recurring operating results from one-off, owner-specific, non-cash, or non-operating items without mechanically adding back every negative expense.</w:t>
      </w:r>
    </w:p>
    <w:p>
      <w:pPr>
        <w:pStyle w:val="ListBullet"/>
        <w:widowControl/>
        <w:spacing w:after="60"/>
      </w:pPr>
      <w:r>
        <w:rPr>
          <w:rFonts w:ascii="Aptos" w:hAnsi="Aptos"/>
          <w:b/>
        </w:rPr>
        <w:t xml:space="preserve">Build a driver forecast. </w:t>
      </w:r>
      <w:r>
        <w:rPr>
          <w:rFonts w:ascii="Aptos" w:hAnsi="Aptos"/>
        </w:rPr>
        <w:t>Link revenue, margins, working capital, capital expenditure, depreciation, tax, and financing assumptions to operational explanations.</w:t>
      </w:r>
    </w:p>
    <w:p>
      <w:pPr>
        <w:pStyle w:val="ListBullet"/>
        <w:widowControl/>
        <w:spacing w:after="60"/>
      </w:pPr>
      <w:r>
        <w:rPr>
          <w:rFonts w:ascii="Aptos" w:hAnsi="Aptos"/>
          <w:b/>
        </w:rPr>
        <w:t xml:space="preserve">Bridge value correctly. </w:t>
      </w:r>
      <w:r>
        <w:rPr>
          <w:rFonts w:ascii="Aptos" w:hAnsi="Aptos"/>
        </w:rPr>
        <w:t>Translate enterprise value to equity value using a documented classification of debt, cash, leases, pensions, minority interests, investments, and other claims.</w:t>
      </w:r>
    </w:p>
    <w:p>
      <w:pPr>
        <w:pStyle w:val="ListBullet"/>
        <w:widowControl/>
        <w:spacing w:after="60"/>
      </w:pPr>
      <w:r>
        <w:rPr>
          <w:rFonts w:ascii="Aptos" w:hAnsi="Aptos"/>
          <w:b/>
        </w:rPr>
        <w:t xml:space="preserve">Control the model. </w:t>
      </w:r>
      <w:r>
        <w:rPr>
          <w:rFonts w:ascii="Aptos" w:hAnsi="Aptos"/>
        </w:rPr>
        <w:t>Use traceable sources, scenario switches, balance and flow checks, and an independent review log.</w:t>
      </w:r>
    </w:p>
    <w:p>
      <w:pPr>
        <w:pStyle w:val="Heading2"/>
        <w:keepNext/>
        <w:widowControl/>
      </w:pPr>
      <w:r>
        <w:rPr>
          <w:rFonts w:ascii="Aptos" w:hAnsi="Aptos"/>
        </w:rPr>
        <w:t>Suggested Seven to Nine Hour Schedule</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cantSplit w:val="true"/>
        </w:trPr>
        <w:tc>
          <w:tcPr>
            <w:tcW w:type="dxa" w:w="6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Block</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Time</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Activity</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Evidence of completion</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60 min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Read Wangerin and McNichols and Stubben summaries; extract implications for modelling.</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Six paper-to-model implications.</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7"/>
              </w:rPr>
              <w:t>2</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7"/>
              </w:rPr>
              <w:t>60 min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Review OpenTuition ratios, working capital, relevant cash flows, and AFM acquisition valuation.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Formula sheet and three cautions.</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150 min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Build three historical years and the normalisation schedule.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Historical statements, bridges, and source register.</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7"/>
              </w:rPr>
              <w:t>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7"/>
              </w:rPr>
              <w:t>120 min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Build the driver forecast and scenarios.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Five-year integrated forecast.</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60 min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Build EV-to-equity bridge and error checks.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Bridge plus check panel.</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7"/>
              </w:rPr>
              <w:t>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7"/>
              </w:rPr>
              <w:t>60–90 min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Cold review and oral defence.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Resolved error log and 90-second explanation.</w:t>
            </w:r>
          </w:p>
        </w:tc>
      </w:tr>
    </w:tbl>
    <w:p>
      <w:pPr>
        <w:widowControl/>
        <w:spacing w:after="40"/>
      </w:pPr>
    </w:p>
    <w:p>
      <w:pPr>
        <w:widowControl/>
      </w:pPr>
      <w:r>
        <w:rPr>
          <w:rFonts w:ascii="Aptos" w:hAnsi="Aptos"/>
          <w:b/>
        </w:rPr>
        <w:t xml:space="preserve">Core principle  A forecast is not a set of growth percentages. </w:t>
      </w:r>
      <w:r>
        <w:rPr>
          <w:rFonts w:ascii="Aptos" w:hAnsi="Aptos"/>
        </w:rPr>
        <w:t>It is a causal model of how customers, prices, volumes, capacity, costs, investment, and cash conversion produce financial statements. Historical analysis establishes the starting economics; accounting-quality review establishes how much confidence to place in them; the forecast makes the team's judgment explicit.</w:t>
      </w:r>
    </w:p>
    <w:p>
      <w:pPr>
        <w:pStyle w:val="Heading1"/>
        <w:keepNext/>
        <w:widowControl/>
      </w:pPr>
      <w:r>
        <w:rPr>
          <w:rFonts w:ascii="Aptos" w:hAnsi="Aptos"/>
        </w:rPr>
        <w:t>Evidence from the Assigned Papers</w:t>
      </w:r>
    </w:p>
    <w:p>
      <w:pPr>
        <w:pStyle w:val="Heading2"/>
        <w:keepNext/>
        <w:widowControl/>
      </w:pPr>
      <w:r>
        <w:rPr>
          <w:rFonts w:ascii="Aptos" w:hAnsi="Aptos"/>
        </w:rPr>
        <w:t>Wangerin 2019</w:t>
      </w:r>
    </w:p>
    <w:p>
      <w:pPr>
        <w:widowControl/>
      </w:pPr>
      <w:r>
        <w:rPr>
          <w:rFonts w:ascii="Aptos" w:hAnsi="Aptos"/>
        </w:rPr>
        <w:t>Wangerin studies M&amp;A due diligence using the time spent negotiating the acquisition agreement and completing the transaction as a proxy for diligence effort. The paper reports that competitive pressure, short-term reporting incentives, and agency problems are associated with less diligence. Less diligence is, in turn, associated with lower post-acquisition profitability, a higher likelihood of acquisition-related goodwill impairment, and lower-quality fair-value estimates for acquired assets and liabilities. [1]</w:t>
      </w:r>
    </w:p>
    <w:p>
      <w:pPr>
        <w:widowControl/>
      </w:pPr>
      <w:r>
        <w:rPr>
          <w:rFonts w:ascii="Aptos" w:hAnsi="Aptos"/>
        </w:rPr>
        <w:t>For Week 2, the practical lesson is not that a longer process automatically creates a better deal. The study is observational and its diligence measure is indirect. The defensible lesson is that pressure to close can reduce information gathering and that weak diligence can surface later through poorer economics and accounting outcomes.</w:t>
      </w:r>
    </w:p>
    <w:p>
      <w:pPr>
        <w:pStyle w:val="Heading2"/>
        <w:keepNext/>
        <w:widowControl/>
      </w:pPr>
      <w:r>
        <w:rPr>
          <w:rFonts w:ascii="Aptos" w:hAnsi="Aptos"/>
        </w:rPr>
        <w:t>McNichols and Stubben 2015</w:t>
      </w:r>
    </w:p>
    <w:p>
      <w:pPr>
        <w:widowControl/>
      </w:pPr>
      <w:r>
        <w:rPr>
          <w:rFonts w:ascii="Aptos" w:hAnsi="Aptos"/>
        </w:rPr>
        <w:t>McNichols and Stubben examine public-company acquisitions from 1990 to 2010 and test whether higher-quality target accounting information helps acquirers value targets more precisely. They find higher announcement returns for acquirers and lower returns for targets when the target has higher-quality accounting information, consistent with acquirers making better bidding decisions and paying less when uncertainty is reduced. The reported results are robust to several controls and alternative measures. [2]</w:t>
      </w:r>
    </w:p>
    <w:p>
      <w:pPr>
        <w:keepLines/>
        <w:widowControl/>
      </w:pPr>
      <w:r>
        <w:rPr>
          <w:rFonts w:ascii="Aptos" w:hAnsi="Aptos"/>
        </w:rPr>
        <w:t>The paper does not give a competition-ready checklist of accounting red flags, nor does it imply that high-quality reporting eliminates valuation risk. It supports a narrower and powerful conclusion: information quality affects bargaining and valuation. A model should therefore express uncertainty through diligence questions, adjusted assumptions, wider scenarios, and—where appropriate—a lower price boundary.</w:t>
      </w:r>
    </w:p>
    <w:p>
      <w:pPr>
        <w:pStyle w:val="Heading2"/>
        <w:keepNext/>
        <w:widowControl/>
      </w:pPr>
      <w:r>
        <w:rPr>
          <w:rFonts w:ascii="Aptos" w:hAnsi="Aptos"/>
        </w:rPr>
        <w:t>Paper to Model Translation</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Research insight</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Week 2 modelling response</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Competition implication</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Closing pressure may reduce diligence effort.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Maintain an unresolved-items list; do not convert missing data into optimistic assumptions.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State which evidence would change price or recommendation.</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Weak diligence is associated with poorer subsequent outcomes.</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Reconcile management claims to filings, cash flow, notes, and operating data before forecasting.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Treat diligence as value protection, not merely compliance.</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Accounting quality can reduce valuation uncertainty.</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Assess accruals, cash conversion, estimate sensitivity, restatements, and disclosure consistency.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Use narrower ranges only when evidence supports them.</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Better information can improve bidding decisions.</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Keep reported, adjusted, and forecast figures separate; document each adjustment.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Tie confidence in the forecast to the price ceiling.</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Fair-value and goodwill outcomes can reveal earlier errors.</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Challenge aggressive asset lives, intangible values, provisions, and terminal assumptions.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Explain how today's assumptions could create tomorrow's impairment.</w:t>
            </w:r>
          </w:p>
        </w:tc>
      </w:tr>
    </w:tbl>
    <w:p>
      <w:pPr>
        <w:widowControl/>
        <w:spacing w:after="40"/>
      </w:pPr>
    </w:p>
    <w:p>
      <w:pPr>
        <w:pStyle w:val="SmallNote"/>
        <w:widowControl/>
      </w:pPr>
      <w:r>
        <w:rPr>
          <w:rFonts w:ascii="Aptos" w:hAnsi="Aptos"/>
        </w:rPr>
        <w:t>Evidence boundary: both papers report empirical associations in historical samples. Use them to sharpen questions and controls, not as deterministic rules for a specific VFCC case.</w:t>
      </w:r>
    </w:p>
    <w:p>
      <w:pPr>
        <w:pStyle w:val="Heading1"/>
        <w:keepNext/>
        <w:widowControl/>
      </w:pPr>
      <w:r>
        <w:rPr>
          <w:rFonts w:ascii="Aptos" w:hAnsi="Aptos"/>
        </w:rPr>
        <w:t>OpenTuition Practical Framework</w:t>
      </w:r>
    </w:p>
    <w:p>
      <w:pPr>
        <w:widowControl/>
      </w:pPr>
      <w:r>
        <w:rPr>
          <w:rFonts w:ascii="Aptos" w:hAnsi="Aptos"/>
        </w:rPr>
        <w:t>OpenTuition's ACCA materials provide the mechanical bridge from statements to cash flows and value. The following principles are adapted for an M&amp;A case rather than reproduced as exam notes.</w:t>
      </w:r>
    </w:p>
    <w:p>
      <w:pPr>
        <w:pStyle w:val="Heading2"/>
        <w:keepNext/>
        <w:widowControl/>
      </w:pPr>
      <w:r>
        <w:rPr>
          <w:rFonts w:ascii="Aptos" w:hAnsi="Aptos"/>
        </w:rPr>
        <w:t>Interpret Financial Statements in Context</w:t>
      </w:r>
    </w:p>
    <w:p>
      <w:pPr>
        <w:widowControl/>
      </w:pPr>
      <w:r>
        <w:rPr>
          <w:rFonts w:ascii="Aptos" w:hAnsi="Aptos"/>
        </w:rPr>
        <w:t>OpenTuition groups ratio analysis around profitability, liquidity, gearing, and efficiency, and cautions that a ratio has limited meaning without comparison through time or against relevant peers. Year-end balance-sheet amounts can also be unrepresentative; averages are preferable when available. [3]</w:t>
      </w:r>
    </w:p>
    <w:p>
      <w:pPr>
        <w:pStyle w:val="ListBullet"/>
        <w:widowControl/>
        <w:spacing w:after="60"/>
      </w:pPr>
      <w:r>
        <w:rPr>
          <w:rFonts w:ascii="Aptos" w:hAnsi="Aptos"/>
        </w:rPr>
        <w:t>Use at least three historical years so trends and reversals are visible.</w:t>
      </w:r>
    </w:p>
    <w:p>
      <w:pPr>
        <w:pStyle w:val="ListBullet"/>
        <w:widowControl/>
        <w:spacing w:after="60"/>
      </w:pPr>
      <w:r>
        <w:rPr>
          <w:rFonts w:ascii="Aptos" w:hAnsi="Aptos"/>
        </w:rPr>
        <w:t>Decompose return on capital into margin and asset turnover rather than relying on a single headline ratio.</w:t>
      </w:r>
    </w:p>
    <w:p>
      <w:pPr>
        <w:pStyle w:val="ListBullet"/>
        <w:widowControl/>
        <w:spacing w:after="60"/>
      </w:pPr>
      <w:r>
        <w:rPr>
          <w:rFonts w:ascii="Aptos" w:hAnsi="Aptos"/>
        </w:rPr>
        <w:t>Compare cash conversion with profit growth. Faster reported growth accompanied by slower collections or rising inventory deserves investigation.</w:t>
      </w:r>
    </w:p>
    <w:p>
      <w:pPr>
        <w:pStyle w:val="Heading2"/>
        <w:keepNext/>
        <w:widowControl/>
      </w:pPr>
      <w:r>
        <w:rPr>
          <w:rFonts w:ascii="Aptos" w:hAnsi="Aptos"/>
        </w:rPr>
        <w:t>Model Working Capital as an Operating Cycle</w:t>
      </w:r>
    </w:p>
    <w:p>
      <w:pPr>
        <w:widowControl/>
      </w:pPr>
      <w:r>
        <w:rPr>
          <w:rFonts w:ascii="Aptos" w:hAnsi="Aptos"/>
        </w:rPr>
        <w:t>OpenTuition defines working capital as the resources committed to day-to-day operations and emphasises efficiency measures such as inventory, receivable, and payable turnover and the cash operating cycle. [4] In a transaction model, cash is normally excluded from operating net working capital and treated in the enterprise-to-equity bridge.</w:t>
      </w:r>
    </w:p>
    <w:p>
      <w:pPr>
        <w:widowControl/>
        <w:spacing w:after="80"/>
        <w:ind w:left="317"/>
      </w:pPr>
      <w:r>
        <w:rPr>
          <w:rFonts w:ascii="Aptos" w:hAnsi="Aptos"/>
          <w:b/>
        </w:rPr>
        <w:t xml:space="preserve">Operating NWC  </w:t>
      </w:r>
      <w:r>
        <w:rPr>
          <w:rFonts w:ascii="Aptos Mono" w:hAnsi="Aptos Mono"/>
        </w:rPr>
        <w:t>Trade receivables + Inventory + Other operating current assets − Trade payables − Other operating current liabilities</w:t>
      </w:r>
    </w:p>
    <w:p>
      <w:pPr>
        <w:widowControl/>
        <w:spacing w:after="80"/>
        <w:ind w:left="317"/>
      </w:pPr>
      <w:r>
        <w:rPr>
          <w:rFonts w:ascii="Aptos" w:hAnsi="Aptos"/>
          <w:b/>
        </w:rPr>
        <w:t xml:space="preserve">Receivable days  </w:t>
      </w:r>
      <w:r>
        <w:rPr>
          <w:rFonts w:ascii="Aptos Mono" w:hAnsi="Aptos Mono"/>
        </w:rPr>
        <w:t>Average trade receivables ÷ Revenue × 365</w:t>
      </w:r>
    </w:p>
    <w:p>
      <w:pPr>
        <w:widowControl/>
        <w:spacing w:after="80"/>
        <w:ind w:left="317"/>
      </w:pPr>
      <w:r>
        <w:rPr>
          <w:rFonts w:ascii="Aptos" w:hAnsi="Aptos"/>
          <w:b/>
        </w:rPr>
        <w:t xml:space="preserve">Inventory days  </w:t>
      </w:r>
      <w:r>
        <w:rPr>
          <w:rFonts w:ascii="Aptos Mono" w:hAnsi="Aptos Mono"/>
        </w:rPr>
        <w:t>Average inventory ÷ Cost of sales × 365</w:t>
      </w:r>
    </w:p>
    <w:p>
      <w:pPr>
        <w:widowControl/>
        <w:spacing w:after="80"/>
        <w:ind w:left="317"/>
      </w:pPr>
      <w:r>
        <w:rPr>
          <w:rFonts w:ascii="Aptos" w:hAnsi="Aptos"/>
          <w:b/>
        </w:rPr>
        <w:t xml:space="preserve">Payable days  </w:t>
      </w:r>
      <w:r>
        <w:rPr>
          <w:rFonts w:ascii="Aptos Mono" w:hAnsi="Aptos Mono"/>
        </w:rPr>
        <w:t>Average trade payables ÷ Purchases × 365</w:t>
      </w:r>
      <w:r>
        <w:rPr>
          <w:rFonts w:ascii="Aptos" w:hAnsi="Aptos"/>
        </w:rPr>
        <w:t xml:space="preserve">  Use cost of sales only when purchases are unavailable and disclose the approximation.</w:t>
      </w:r>
    </w:p>
    <w:p>
      <w:pPr>
        <w:pStyle w:val="Heading2"/>
        <w:keepNext/>
        <w:widowControl/>
      </w:pPr>
      <w:r>
        <w:rPr>
          <w:rFonts w:ascii="Aptos" w:hAnsi="Aptos"/>
        </w:rPr>
        <w:t>Distinguish EBITDA from Cash Flow</w:t>
      </w:r>
    </w:p>
    <w:p>
      <w:pPr>
        <w:widowControl/>
      </w:pPr>
      <w:r>
        <w:rPr>
          <w:rFonts w:ascii="Aptos" w:hAnsi="Aptos"/>
        </w:rPr>
        <w:t>OpenTuition notes that EBITDA is not cash flow because it omits working-capital investment. [5] Its relevant-cash-flow guidance also separates incremental operating cash flows from sunk costs, non-cash depreciation, and financing flows already reflected in the discount rate. [6]</w:t>
      </w:r>
    </w:p>
    <w:p>
      <w:pPr>
        <w:widowControl/>
        <w:spacing w:after="80"/>
        <w:ind w:left="317"/>
      </w:pPr>
      <w:r>
        <w:rPr>
          <w:rFonts w:ascii="Aptos" w:hAnsi="Aptos"/>
          <w:b/>
        </w:rPr>
        <w:t xml:space="preserve">Unlevered free cash flow  </w:t>
      </w:r>
      <w:r>
        <w:rPr>
          <w:rFonts w:ascii="Aptos Mono" w:hAnsi="Aptos Mono"/>
        </w:rPr>
        <w:t>EBIT × (1 − tax rate) + Depreciation and amortisation − Capital expenditure − Change in operating NWC</w:t>
      </w:r>
    </w:p>
    <w:p>
      <w:pPr>
        <w:widowControl/>
      </w:pPr>
      <w:r>
        <w:rPr>
          <w:rFonts w:ascii="Aptos" w:hAnsi="Aptos"/>
        </w:rPr>
        <w:t>This formula is a check on forecast architecture, not a substitute for understanding. If depreciation is added back, the model must still include the capital expenditure needed to sustain the forecast. If growth requires working capital, the cash outflow must appear when the balance grows.</w:t>
      </w:r>
    </w:p>
    <w:p>
      <w:pPr>
        <w:pStyle w:val="Heading2"/>
        <w:keepNext/>
        <w:widowControl/>
      </w:pPr>
      <w:r>
        <w:rPr>
          <w:rFonts w:ascii="Aptos" w:hAnsi="Aptos"/>
        </w:rPr>
        <w:t>Keep Enterprise and Equity Value Separate</w:t>
      </w:r>
    </w:p>
    <w:p>
      <w:pPr>
        <w:widowControl/>
      </w:pPr>
      <w:r>
        <w:rPr>
          <w:rFonts w:ascii="Aptos" w:hAnsi="Aptos"/>
        </w:rPr>
        <w:t>OpenTuition's AFM acquisition material distinguishes free cash flow to the firm, discounted at WACC, from free cash flow to equity, discounted at the cost of equity. The present value of FCFF gives enterprise value; debt and other claims are then reflected to reach equity value. [7]</w:t>
      </w:r>
    </w:p>
    <w:p>
      <w:pPr>
        <w:pStyle w:val="Heading1"/>
        <w:keepNext/>
        <w:widowControl/>
      </w:pPr>
      <w:r>
        <w:rPr>
          <w:rFonts w:ascii="Aptos" w:hAnsi="Aptos"/>
        </w:rPr>
        <w:t>Building the Three Year Historical Model</w:t>
      </w:r>
    </w:p>
    <w:p>
      <w:pPr>
        <w:pStyle w:val="Heading2"/>
        <w:keepNext/>
        <w:widowControl/>
      </w:pPr>
      <w:r>
        <w:rPr>
          <w:rFonts w:ascii="Aptos" w:hAnsi="Aptos"/>
        </w:rPr>
        <w:t>Recommended Workbook Architecture</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Sheet</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Purpose</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Control</w:t>
            </w:r>
          </w:p>
        </w:tc>
      </w:tr>
      <w:tr>
        <w:trPr>
          <w:cantSplit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Cover and instructions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Units, currency, period end, sign convention, colour convention, version, owner.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Visible model status and unresolved items.</w:t>
            </w:r>
          </w:p>
        </w:tc>
      </w:tr>
      <w:tr>
        <w:trPr>
          <w:cantSplit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Sources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Filings, notes, case exhibits, market data, page references, links, retrieval date.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One source ID for every hard-coded fact.</w:t>
            </w:r>
          </w:p>
        </w:tc>
      </w:tr>
      <w:tr>
        <w:trPr>
          <w:cantSplit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Historicals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Income statement, balance sheet, cash flow and selected notes for three years.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Totals tie to published statements.</w:t>
            </w:r>
          </w:p>
        </w:tc>
      </w:tr>
      <w:tr>
        <w:trPr>
          <w:cantSplit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Adjustments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Normalisation and reclassification with explanation and reversal logic.</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Reported-to-adjusted bridge equals zero.</w:t>
            </w:r>
          </w:p>
        </w:tc>
      </w:tr>
      <w:tr>
        <w:trPr>
          <w:cantSplit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Drivers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Prices, volumes, margins, days, headcount, capacity, capex, tax and other assumptions.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No unlabeled hard codes in forecast formulas.</w:t>
            </w:r>
          </w:p>
        </w:tc>
      </w:tr>
      <w:tr>
        <w:trPr>
          <w:cantSplit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Forecast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Five-year statements and operating schedules.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Balance/flow and roll-forward checks.</w:t>
            </w:r>
          </w:p>
        </w:tc>
      </w:tr>
      <w:tr>
        <w:trPr>
          <w:cantSplit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Scenarios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Base, upside and downside assumptions in one switchable table.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One active scenario indicator.</w:t>
            </w:r>
          </w:p>
        </w:tc>
      </w:tr>
      <w:tr>
        <w:trPr>
          <w:cantSplit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Outputs and checks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Decision-relevant KPIs, EV-to-equity bridge, sensitivities and errors.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Prominent zero/OK checks.</w:t>
            </w:r>
          </w:p>
        </w:tc>
      </w:tr>
    </w:tbl>
    <w:p>
      <w:pPr>
        <w:widowControl/>
        <w:spacing w:after="40"/>
      </w:pPr>
    </w:p>
    <w:p>
      <w:pPr>
        <w:pStyle w:val="Heading2"/>
        <w:keepNext/>
        <w:widowControl/>
      </w:pPr>
      <w:r>
        <w:rPr>
          <w:rFonts w:ascii="Aptos" w:hAnsi="Aptos"/>
        </w:rPr>
        <w:t>Step 1 Create a Source Controlled Dataset</w:t>
      </w:r>
    </w:p>
    <w:p>
      <w:pPr>
        <w:widowControl/>
        <w:spacing w:after="80"/>
        <w:ind w:left="403" w:hanging="403"/>
      </w:pPr>
      <w:r>
        <w:rPr>
          <w:rFonts w:ascii="Aptos" w:hAnsi="Aptos"/>
          <w:b w:val="0"/>
        </w:rPr>
        <w:t xml:space="preserve">1.  </w:t>
      </w:r>
      <w:r>
        <w:rPr>
          <w:rFonts w:ascii="Aptos" w:hAnsi="Aptos"/>
          <w:b/>
        </w:rPr>
        <w:t xml:space="preserve">Fix units and periods. </w:t>
      </w:r>
      <w:r>
        <w:rPr>
          <w:rFonts w:ascii="Aptos" w:hAnsi="Aptos"/>
        </w:rPr>
        <w:t>Choose one currency and one scale, identify fiscal year ends, and label actual versus forecast columns.</w:t>
      </w:r>
    </w:p>
    <w:p>
      <w:pPr>
        <w:widowControl/>
        <w:spacing w:after="80"/>
        <w:ind w:left="403" w:hanging="403"/>
      </w:pPr>
      <w:r>
        <w:rPr>
          <w:rFonts w:ascii="Aptos" w:hAnsi="Aptos"/>
          <w:b w:val="0"/>
        </w:rPr>
        <w:t xml:space="preserve">2.  </w:t>
      </w:r>
      <w:r>
        <w:rPr>
          <w:rFonts w:ascii="Aptos" w:hAnsi="Aptos"/>
          <w:b/>
        </w:rPr>
        <w:t xml:space="preserve">Capture reported lines. </w:t>
      </w:r>
      <w:r>
        <w:rPr>
          <w:rFonts w:ascii="Aptos" w:hAnsi="Aptos"/>
        </w:rPr>
        <w:t>Enter statements exactly as published before combining or reclassifying accounts.</w:t>
      </w:r>
    </w:p>
    <w:p>
      <w:pPr>
        <w:widowControl/>
        <w:spacing w:after="80"/>
        <w:ind w:left="403" w:hanging="403"/>
      </w:pPr>
      <w:r>
        <w:rPr>
          <w:rFonts w:ascii="Aptos" w:hAnsi="Aptos"/>
          <w:b w:val="0"/>
        </w:rPr>
        <w:t xml:space="preserve">3.  </w:t>
      </w:r>
      <w:r>
        <w:rPr>
          <w:rFonts w:ascii="Aptos" w:hAnsi="Aptos"/>
          <w:b/>
        </w:rPr>
        <w:t xml:space="preserve">Tag each input. </w:t>
      </w:r>
      <w:r>
        <w:rPr>
          <w:rFonts w:ascii="Aptos" w:hAnsi="Aptos"/>
        </w:rPr>
        <w:t>Record document, date, page or note, source type, owner, and verification status.</w:t>
      </w:r>
    </w:p>
    <w:p>
      <w:pPr>
        <w:widowControl/>
        <w:spacing w:after="80"/>
        <w:ind w:left="403" w:hanging="403"/>
      </w:pPr>
      <w:r>
        <w:rPr>
          <w:rFonts w:ascii="Aptos" w:hAnsi="Aptos"/>
          <w:b w:val="0"/>
        </w:rPr>
        <w:t xml:space="preserve">4.  </w:t>
      </w:r>
      <w:r>
        <w:rPr>
          <w:rFonts w:ascii="Aptos" w:hAnsi="Aptos"/>
          <w:b/>
        </w:rPr>
        <w:t xml:space="preserve">Reconcile totals. </w:t>
      </w:r>
      <w:r>
        <w:rPr>
          <w:rFonts w:ascii="Aptos" w:hAnsi="Aptos"/>
        </w:rPr>
        <w:t>Tie revenue, operating profit, total assets, net income, and cash movement to the filing.</w:t>
      </w:r>
    </w:p>
    <w:p>
      <w:pPr>
        <w:widowControl/>
        <w:spacing w:after="80"/>
        <w:ind w:left="403" w:hanging="403"/>
      </w:pPr>
      <w:r>
        <w:rPr>
          <w:rFonts w:ascii="Aptos" w:hAnsi="Aptos"/>
          <w:b w:val="0"/>
        </w:rPr>
        <w:t xml:space="preserve">5.  </w:t>
      </w:r>
      <w:r>
        <w:rPr>
          <w:rFonts w:ascii="Aptos" w:hAnsi="Aptos"/>
          <w:b/>
        </w:rPr>
        <w:t xml:space="preserve">Preserve an audit trail. </w:t>
      </w:r>
      <w:r>
        <w:rPr>
          <w:rFonts w:ascii="Aptos" w:hAnsi="Aptos"/>
        </w:rPr>
        <w:t>Never overwrite a reported figure with an adjusted number. Use a separate bridge.</w:t>
      </w:r>
    </w:p>
    <w:p>
      <w:pPr>
        <w:pStyle w:val="Heading2"/>
        <w:keepNext/>
        <w:widowControl/>
      </w:pPr>
      <w:r>
        <w:rPr>
          <w:rFonts w:ascii="Aptos" w:hAnsi="Aptos"/>
        </w:rPr>
        <w:t>Step 2 Reconstruct Operating Economics</w:t>
      </w:r>
    </w:p>
    <w:p>
      <w:pPr>
        <w:pStyle w:val="ListBullet"/>
        <w:widowControl/>
        <w:spacing w:after="60"/>
      </w:pPr>
      <w:r>
        <w:rPr>
          <w:rFonts w:ascii="Aptos" w:hAnsi="Aptos"/>
          <w:b/>
        </w:rPr>
        <w:t xml:space="preserve">Revenue bridge. </w:t>
      </w:r>
      <w:r>
        <w:rPr>
          <w:rFonts w:ascii="Aptos" w:hAnsi="Aptos"/>
        </w:rPr>
        <w:t>Split growth into price, volume, mix, acquisition, foreign exchange, and disposals where evidence permits.</w:t>
      </w:r>
    </w:p>
    <w:p>
      <w:pPr>
        <w:pStyle w:val="ListBullet"/>
        <w:widowControl/>
        <w:spacing w:after="60"/>
      </w:pPr>
      <w:r>
        <w:rPr>
          <w:rFonts w:ascii="Aptos" w:hAnsi="Aptos"/>
          <w:b/>
        </w:rPr>
        <w:t xml:space="preserve">Margin bridge. </w:t>
      </w:r>
      <w:r>
        <w:rPr>
          <w:rFonts w:ascii="Aptos" w:hAnsi="Aptos"/>
        </w:rPr>
        <w:t>Explain changes through pricing, input costs, mix, utilisation, labour, overhead absorption, and one-off items.</w:t>
      </w:r>
    </w:p>
    <w:p>
      <w:pPr>
        <w:pStyle w:val="ListBullet"/>
        <w:widowControl/>
        <w:spacing w:after="60"/>
      </w:pPr>
      <w:r>
        <w:rPr>
          <w:rFonts w:ascii="Aptos" w:hAnsi="Aptos"/>
          <w:b/>
        </w:rPr>
        <w:t xml:space="preserve">Working-capital bridge. </w:t>
      </w:r>
      <w:r>
        <w:rPr>
          <w:rFonts w:ascii="Aptos" w:hAnsi="Aptos"/>
        </w:rPr>
        <w:t>Calculate days and turnover, then link movements to growth, seasonality, channel mix, or collection behaviour.</w:t>
      </w:r>
    </w:p>
    <w:p>
      <w:pPr>
        <w:pStyle w:val="ListBullet"/>
        <w:widowControl/>
        <w:spacing w:after="60"/>
      </w:pPr>
      <w:r>
        <w:rPr>
          <w:rFonts w:ascii="Aptos" w:hAnsi="Aptos"/>
          <w:b/>
        </w:rPr>
        <w:t xml:space="preserve">Investment bridge. </w:t>
      </w:r>
      <w:r>
        <w:rPr>
          <w:rFonts w:ascii="Aptos" w:hAnsi="Aptos"/>
        </w:rPr>
        <w:t>Distinguish maintenance from growth capex where possible; compare capex with depreciation and capacity needs.</w:t>
      </w:r>
    </w:p>
    <w:p>
      <w:pPr>
        <w:pStyle w:val="ListBullet"/>
        <w:widowControl/>
        <w:spacing w:after="60"/>
      </w:pPr>
      <w:r>
        <w:rPr>
          <w:rFonts w:ascii="Aptos" w:hAnsi="Aptos"/>
          <w:b/>
        </w:rPr>
        <w:t xml:space="preserve">Debt and cash bridge. </w:t>
      </w:r>
      <w:r>
        <w:rPr>
          <w:rFonts w:ascii="Aptos" w:hAnsi="Aptos"/>
        </w:rPr>
        <w:t>Separate operating cash, restricted cash, borrowings, leases, factoring, guarantees, and other debt-like items.</w:t>
      </w:r>
    </w:p>
    <w:p>
      <w:pPr>
        <w:pStyle w:val="Heading2"/>
        <w:keepNext/>
        <w:widowControl/>
      </w:pPr>
      <w:r>
        <w:rPr>
          <w:rFonts w:ascii="Aptos" w:hAnsi="Aptos"/>
        </w:rPr>
        <w:t>Step 3 Normalise Carefully</w:t>
      </w:r>
    </w:p>
    <w:p>
      <w:pPr>
        <w:widowControl/>
      </w:pPr>
      <w:r>
        <w:rPr>
          <w:rFonts w:ascii="Aptos" w:hAnsi="Aptos"/>
        </w:rPr>
        <w:t>An adjustment should change the estimate of sustainable operating performance, not merely make earnings look better. Use four tests: recurrence, operating relevance, cash effect, and forecast treatment.</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Item</w:t>
            </w:r>
          </w:p>
        </w:tc>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Typical treatment</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Required evidence</w:t>
            </w:r>
          </w:p>
        </w:tc>
      </w:tr>
      <w:tr>
        <w:trPr>
          <w:cantSplit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Restructuring charge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Adjust only if genuinely non-recurring; retain recurring restructuring as an operating cost.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History of similar charges, plan details, cash timing.</w:t>
            </w:r>
          </w:p>
        </w:tc>
      </w:tr>
      <w:tr>
        <w:trPr>
          <w:cantSplit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Asset disposal gain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Remove from operating earnings; treat proceeds separately if relevant.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Asset note and cash-flow statement.</w:t>
            </w:r>
          </w:p>
        </w:tc>
      </w:tr>
      <w:tr>
        <w:trPr>
          <w:cantSplit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Litigation or regulatory cost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Case-specific; may require a probability-weighted liability, not an EBITDA add-back.</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Legal note, expected range, recurrence.</w:t>
            </w:r>
          </w:p>
        </w:tc>
      </w:tr>
      <w:tr>
        <w:trPr>
          <w:cantSplit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Share-based compensation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Usually an operating cost; if adjusted, explain dilution and replacement compensation.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Compensation note and forecast policy.</w:t>
            </w:r>
          </w:p>
        </w:tc>
      </w:tr>
      <w:tr>
        <w:trPr>
          <w:cantSplit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Owner compensation or related-party rent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Normalise to market terms, particularly for private targets.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Contracts and benchmarks.</w:t>
            </w:r>
          </w:p>
        </w:tc>
      </w:tr>
      <w:tr>
        <w:trPr>
          <w:cantSplit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Capitalised development or customer acquisition cost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Assess whether capitalisation defers recurring operating expense.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Accounting policy, amortisation, impairment history.</w:t>
            </w:r>
          </w:p>
        </w:tc>
      </w:tr>
    </w:tbl>
    <w:p>
      <w:pPr>
        <w:widowControl/>
        <w:spacing w:after="40"/>
      </w:pPr>
    </w:p>
    <w:p>
      <w:pPr>
        <w:pStyle w:val="Heading1"/>
        <w:keepNext/>
        <w:widowControl/>
      </w:pPr>
      <w:r>
        <w:rPr>
          <w:rFonts w:ascii="Aptos" w:hAnsi="Aptos"/>
        </w:rPr>
        <w:t>Accounting Quality Review</w:t>
      </w:r>
    </w:p>
    <w:p>
      <w:pPr>
        <w:widowControl/>
      </w:pPr>
      <w:r>
        <w:rPr>
          <w:rFonts w:ascii="Aptos" w:hAnsi="Aptos"/>
        </w:rPr>
        <w:t>Accounting quality is the confidence that reported numbers describe sustainable economics closely enough to support valuation. It is not a binary label and it is not the same as receiving an unmodified audit opinion.</w:t>
      </w:r>
    </w:p>
    <w:p>
      <w:pPr>
        <w:pStyle w:val="Heading2"/>
        <w:keepNext/>
        <w:widowControl/>
      </w:pPr>
      <w:r>
        <w:rPr>
          <w:rFonts w:ascii="Aptos" w:hAnsi="Aptos"/>
        </w:rPr>
        <w:t>Diagnostic Questions</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Area</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Questions</w:t>
            </w:r>
          </w:p>
        </w:tc>
        <w:tc>
          <w:tcPr>
            <w:tcW w:type="dxa" w:w="280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Model response if unresolved</w:t>
            </w:r>
          </w:p>
        </w:tc>
      </w:tr>
      <w:tr>
        <w:trPr>
          <w:cantSplit w:val="true"/>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Revenue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Do receivable days rise faster than revenue? Are contract assets, rebates, returns, channel stuffing, bill-and-hold terms, or related parties material?</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Lower growth or cash conversion; widen scenarios; request ageing and cohort data.</w:t>
            </w:r>
          </w:p>
        </w:tc>
      </w:tr>
      <w:tr>
        <w:trPr>
          <w:cantSplit w:val="true"/>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Margins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Do gross margins improve without operational support? Are costs reclassified below EBITDA or capitalised?</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Reverse questionable reclassifications; use conservative steady-state margins.</w:t>
            </w:r>
          </w:p>
        </w:tc>
      </w:tr>
      <w:tr>
        <w:trPr>
          <w:cantSplit w:val="true"/>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Working capital</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Are inventory obsolescence and bad-debt provisions adequate? Are supplier-finance balances classified as payables?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Adjust NWC and net debt; extend cash-conversion assumptions.</w:t>
            </w:r>
          </w:p>
        </w:tc>
      </w:tr>
      <w:tr>
        <w:trPr>
          <w:cantSplit w:val="true"/>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Capex and intangibles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Is investment expensed or capitalised consistently? Are useful lives or impairment assumptions aggressive?</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Raise maintenance capex or amortisation; test asset values.</w:t>
            </w:r>
          </w:p>
        </w:tc>
      </w:tr>
      <w:tr>
        <w:trPr>
          <w:cantSplit w:val="true"/>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Cash and debt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Is cash restricted? Are leases, guarantees, factoring, earn-outs, pensions, or tax liabilities debt-like?</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Modify the EV-to-equity bridge and downside liquidity case.</w:t>
            </w:r>
          </w:p>
        </w:tc>
      </w:tr>
      <w:tr>
        <w:trPr>
          <w:cantSplit w:val="true"/>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Estimates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Have provisions, tax positions, fair values, or segment allocations changed unusually?</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Apply specific adjustment or probability-weighted range.</w:t>
            </w:r>
          </w:p>
        </w:tc>
      </w:tr>
      <w:tr>
        <w:trPr>
          <w:cantSplit w:val="true"/>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Disclosure quality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Are policies, segment data, and reconciliations consistent over time? Are restatements or auditor changes explained?</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Reduce confidence, increase diligence, and avoid false precision.</w:t>
            </w:r>
          </w:p>
        </w:tc>
      </w:tr>
    </w:tbl>
    <w:p>
      <w:pPr>
        <w:widowControl/>
        <w:spacing w:after="40"/>
      </w:pPr>
    </w:p>
    <w:p>
      <w:pPr>
        <w:pStyle w:val="Heading2"/>
        <w:keepNext/>
        <w:widowControl/>
      </w:pPr>
      <w:r>
        <w:rPr>
          <w:rFonts w:ascii="Aptos" w:hAnsi="Aptos"/>
        </w:rPr>
        <w:t>Simple Quality of Earnings Bridge</w:t>
      </w:r>
    </w:p>
    <w:p>
      <w:pPr>
        <w:widowControl/>
        <w:spacing w:after="80"/>
        <w:ind w:left="317"/>
      </w:pPr>
      <w:r>
        <w:rPr>
          <w:rFonts w:ascii="Aptos" w:hAnsi="Aptos"/>
          <w:b/>
        </w:rPr>
        <w:t xml:space="preserve">Adjusted EBITDA  </w:t>
      </w:r>
      <w:r>
        <w:rPr>
          <w:rFonts w:ascii="Aptos Mono" w:hAnsi="Aptos Mono"/>
        </w:rPr>
        <w:t>Reported EBITDA − Non-operating income + Non-recurring operating costs − Non-recurring operating gains ± Policy or classification adjustments</w:t>
      </w:r>
    </w:p>
    <w:p>
      <w:pPr>
        <w:widowControl/>
      </w:pPr>
      <w:r>
        <w:rPr>
          <w:rFonts w:ascii="Aptos" w:hAnsi="Aptos"/>
        </w:rPr>
        <w:t>For each adjustment, document amount, tax effect, cash effect, source, recurrence judgment, forecast treatment, and reviewer sign-off. A good bridge can reduce EBITDA as well as increase it.</w:t>
      </w:r>
    </w:p>
    <w:p>
      <w:pPr>
        <w:pStyle w:val="Heading2"/>
        <w:keepNext/>
        <w:widowControl/>
      </w:pPr>
      <w:r>
        <w:rPr>
          <w:rFonts w:ascii="Aptos" w:hAnsi="Aptos"/>
        </w:rPr>
        <w:t>Confidence Rating</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Rating</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Evidence pattern</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Forecast treatment</w:t>
            </w:r>
          </w:p>
        </w:tc>
      </w:tr>
      <w:tr>
        <w:trPr>
          <w:cantSplit w:val="true"/>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High</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Consistent policies, strong cash conversion, clear segment data, limited unusual items, reliable reconciliations.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Tighter base-case range; normal sensitivity testing.</w:t>
            </w:r>
          </w:p>
        </w:tc>
      </w:tr>
      <w:tr>
        <w:trPr>
          <w:cantSplit w:val="true"/>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Medium</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Some estimates or classification issues, but evidence supports a reasonable adjustment.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Explicit adjustment; wider operating sensitivities.</w:t>
            </w:r>
          </w:p>
        </w:tc>
      </w:tr>
      <w:tr>
        <w:trPr>
          <w:cantSplit w:val="true"/>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Low</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Large unexplained accruals, weak cash conversion, repeated one-offs, inconsistent disclosures, or missing data.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Downside-weighted assumptions, wider valuation range, price protection or no-deal condition.</w:t>
            </w:r>
          </w:p>
        </w:tc>
      </w:tr>
    </w:tbl>
    <w:p>
      <w:pPr>
        <w:widowControl/>
        <w:spacing w:after="40"/>
      </w:pPr>
    </w:p>
    <w:p>
      <w:pPr>
        <w:pStyle w:val="Heading2"/>
        <w:keepNext/>
        <w:widowControl/>
      </w:pPr>
      <w:r>
        <w:rPr>
          <w:rFonts w:ascii="Aptos" w:hAnsi="Aptos"/>
        </w:rPr>
        <w:t>Research Based Challenge</w:t>
      </w:r>
    </w:p>
    <w:p>
      <w:pPr>
        <w:widowControl/>
      </w:pPr>
      <w:r>
        <w:rPr>
          <w:rFonts w:ascii="Aptos" w:hAnsi="Aptos"/>
        </w:rPr>
        <w:t>McNichols and Stubben connect higher accounting quality with better bidding outcomes; Wangerin connects reduced diligence with weaker post-deal and reporting outcomes. Together they justify an explicit information-risk adjustment. Do not hide this risk inside a single arbitrary discount-rate premium. Show which forecast drivers, valuation range, price ceiling, contractual protection, or diligence condition changes.</w:t>
      </w:r>
    </w:p>
    <w:p>
      <w:pPr>
        <w:pStyle w:val="Heading1"/>
        <w:keepNext/>
        <w:widowControl/>
      </w:pPr>
      <w:r>
        <w:rPr>
          <w:rFonts w:ascii="Aptos" w:hAnsi="Aptos"/>
        </w:rPr>
        <w:t>Building the Five Year Driver Forecast</w:t>
      </w:r>
    </w:p>
    <w:p>
      <w:pPr>
        <w:pStyle w:val="Heading2"/>
        <w:keepNext/>
        <w:widowControl/>
      </w:pPr>
      <w:r>
        <w:rPr>
          <w:rFonts w:ascii="Aptos" w:hAnsi="Aptos"/>
        </w:rPr>
        <w:t>Forecast in Causal Order</w:t>
      </w:r>
    </w:p>
    <w:p>
      <w:pPr>
        <w:widowControl/>
        <w:spacing w:after="80"/>
        <w:ind w:left="403" w:hanging="403"/>
      </w:pPr>
      <w:r>
        <w:rPr>
          <w:rFonts w:ascii="Aptos" w:hAnsi="Aptos"/>
          <w:b w:val="0"/>
        </w:rPr>
        <w:t xml:space="preserve">1.  </w:t>
      </w:r>
      <w:r>
        <w:rPr>
          <w:rFonts w:ascii="Aptos" w:hAnsi="Aptos"/>
          <w:b/>
        </w:rPr>
        <w:t xml:space="preserve">Define scenarios. </w:t>
      </w:r>
      <w:r>
        <w:rPr>
          <w:rFonts w:ascii="Aptos" w:hAnsi="Aptos"/>
        </w:rPr>
        <w:t>State the operational narrative for base, upside, and downside before entering numbers.</w:t>
      </w:r>
    </w:p>
    <w:p>
      <w:pPr>
        <w:widowControl/>
        <w:spacing w:after="80"/>
        <w:ind w:left="403" w:hanging="403"/>
      </w:pPr>
      <w:r>
        <w:rPr>
          <w:rFonts w:ascii="Aptos" w:hAnsi="Aptos"/>
          <w:b w:val="0"/>
        </w:rPr>
        <w:t xml:space="preserve">2.  </w:t>
      </w:r>
      <w:r>
        <w:rPr>
          <w:rFonts w:ascii="Aptos" w:hAnsi="Aptos"/>
          <w:b/>
        </w:rPr>
        <w:t xml:space="preserve">Forecast revenue. </w:t>
      </w:r>
      <w:r>
        <w:rPr>
          <w:rFonts w:ascii="Aptos" w:hAnsi="Aptos"/>
        </w:rPr>
        <w:t>Use price × volume, locations × sales per location, users × average revenue per user, capacity × utilisation, or another business-specific driver.</w:t>
      </w:r>
    </w:p>
    <w:p>
      <w:pPr>
        <w:widowControl/>
        <w:spacing w:after="80"/>
        <w:ind w:left="403" w:hanging="403"/>
      </w:pPr>
      <w:r>
        <w:rPr>
          <w:rFonts w:ascii="Aptos" w:hAnsi="Aptos"/>
          <w:b w:val="0"/>
        </w:rPr>
        <w:t xml:space="preserve">3.  </w:t>
      </w:r>
      <w:r>
        <w:rPr>
          <w:rFonts w:ascii="Aptos" w:hAnsi="Aptos"/>
          <w:b/>
        </w:rPr>
        <w:t xml:space="preserve">Forecast operating costs. </w:t>
      </w:r>
      <w:r>
        <w:rPr>
          <w:rFonts w:ascii="Aptos" w:hAnsi="Aptos"/>
        </w:rPr>
        <w:t>Separate variable, semi-variable, and fixed components where evidence allows; avoid assuming margins expand automatically.</w:t>
      </w:r>
    </w:p>
    <w:p>
      <w:pPr>
        <w:widowControl/>
        <w:spacing w:after="80"/>
        <w:ind w:left="403" w:hanging="403"/>
      </w:pPr>
      <w:r>
        <w:rPr>
          <w:rFonts w:ascii="Aptos" w:hAnsi="Aptos"/>
          <w:b w:val="0"/>
        </w:rPr>
        <w:t xml:space="preserve">4.  </w:t>
      </w:r>
      <w:r>
        <w:rPr>
          <w:rFonts w:ascii="Aptos" w:hAnsi="Aptos"/>
          <w:b/>
        </w:rPr>
        <w:t xml:space="preserve">Forecast working capital. </w:t>
      </w:r>
      <w:r>
        <w:rPr>
          <w:rFonts w:ascii="Aptos" w:hAnsi="Aptos"/>
        </w:rPr>
        <w:t>Apply days or turnover to the correct flow and reflect seasonality, channel mix, and growth.</w:t>
      </w:r>
    </w:p>
    <w:p>
      <w:pPr>
        <w:widowControl/>
        <w:spacing w:after="80"/>
        <w:ind w:left="403" w:hanging="403"/>
      </w:pPr>
      <w:r>
        <w:rPr>
          <w:rFonts w:ascii="Aptos" w:hAnsi="Aptos"/>
          <w:b w:val="0"/>
        </w:rPr>
        <w:t xml:space="preserve">5.  </w:t>
      </w:r>
      <w:r>
        <w:rPr>
          <w:rFonts w:ascii="Aptos" w:hAnsi="Aptos"/>
          <w:b/>
        </w:rPr>
        <w:t xml:space="preserve">Forecast investment. </w:t>
      </w:r>
      <w:r>
        <w:rPr>
          <w:rFonts w:ascii="Aptos" w:hAnsi="Aptos"/>
        </w:rPr>
        <w:t>Link capex to maintenance, growth, capacity and implementation timing; roll forward depreciation and assets.</w:t>
      </w:r>
    </w:p>
    <w:p>
      <w:pPr>
        <w:widowControl/>
        <w:spacing w:after="80"/>
        <w:ind w:left="403" w:hanging="403"/>
      </w:pPr>
      <w:r>
        <w:rPr>
          <w:rFonts w:ascii="Aptos" w:hAnsi="Aptos"/>
          <w:b w:val="0"/>
        </w:rPr>
        <w:t xml:space="preserve">6.  </w:t>
      </w:r>
      <w:r>
        <w:rPr>
          <w:rFonts w:ascii="Aptos" w:hAnsi="Aptos"/>
          <w:b/>
        </w:rPr>
        <w:t xml:space="preserve">Forecast tax. </w:t>
      </w:r>
      <w:r>
        <w:rPr>
          <w:rFonts w:ascii="Aptos" w:hAnsi="Aptos"/>
        </w:rPr>
        <w:t>Separate accounting tax from cash tax when losses, incentives, or timing differences are material.</w:t>
      </w:r>
    </w:p>
    <w:p>
      <w:pPr>
        <w:widowControl/>
        <w:spacing w:after="80"/>
        <w:ind w:left="403" w:hanging="403"/>
      </w:pPr>
      <w:r>
        <w:rPr>
          <w:rFonts w:ascii="Aptos" w:hAnsi="Aptos"/>
          <w:b w:val="0"/>
        </w:rPr>
        <w:t xml:space="preserve">7.  </w:t>
      </w:r>
      <w:r>
        <w:rPr>
          <w:rFonts w:ascii="Aptos" w:hAnsi="Aptos"/>
          <w:b/>
        </w:rPr>
        <w:t xml:space="preserve">Complete financing and balance items. </w:t>
      </w:r>
      <w:r>
        <w:rPr>
          <w:rFonts w:ascii="Aptos" w:hAnsi="Aptos"/>
        </w:rPr>
        <w:t>Use cash or debt as an explicit balancing mechanism only when the model design requires it and disclose the circularity.</w:t>
      </w:r>
    </w:p>
    <w:p>
      <w:pPr>
        <w:widowControl/>
        <w:spacing w:after="80"/>
        <w:ind w:left="403" w:hanging="403"/>
      </w:pPr>
      <w:r>
        <w:rPr>
          <w:rFonts w:ascii="Aptos" w:hAnsi="Aptos"/>
          <w:b w:val="0"/>
        </w:rPr>
        <w:t xml:space="preserve">8.  </w:t>
      </w:r>
      <w:r>
        <w:rPr>
          <w:rFonts w:ascii="Aptos" w:hAnsi="Aptos"/>
          <w:b/>
        </w:rPr>
        <w:t xml:space="preserve">Run checks and explain outputs. </w:t>
      </w:r>
      <w:r>
        <w:rPr>
          <w:rFonts w:ascii="Aptos" w:hAnsi="Aptos"/>
        </w:rPr>
        <w:t>A forecast is complete only when a reviewer can trace each output to a driver and source.</w:t>
      </w:r>
    </w:p>
    <w:p>
      <w:pPr>
        <w:widowControl/>
      </w:pPr>
      <w:r>
        <w:rPr>
          <w:rFonts w:ascii="Aptos" w:hAnsi="Aptos"/>
        </w:rPr>
        <w:br w:type="page"/>
      </w:r>
    </w:p>
    <w:p>
      <w:pPr>
        <w:pStyle w:val="Heading2"/>
        <w:keepNext/>
        <w:widowControl/>
      </w:pPr>
      <w:r>
        <w:rPr>
          <w:rFonts w:ascii="Aptos" w:hAnsi="Aptos"/>
        </w:rPr>
        <w:t>Driver Library</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Line</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Preferred drivers</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Common weak shortcut</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Revenue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Units, price, customers, churn, locations, utilisation, capacity, market share.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Prior-year revenue × unsupported growth rate.</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Gross profit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Price, input costs, mix, yield, freight, utilisation, purchasing terms.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Straight-line margin expansion.</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SG&amp;A</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Headcount, compensation, commissions, rent, marketing, systems, fixed/variable split.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Constant percentage without operational support.</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Receivables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Credit sales and collection days; ageing where available.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Fixed balance despite sales growth.</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Inventory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Cost of sales, days, product mix, safety stock, obsolescence.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Revenue percentage with no reason.</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Payables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Purchases and payment days; supplier finance separately.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Arbitrary source of cash.</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Capex</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Maintenance, capacity, expansion projects, timing, useful lives.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Capex equals depreciation forever.</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Depreciation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Opening asset base plus capex vintages and useful lives.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Percentage of revenue unrelated to assets.</w:t>
            </w:r>
          </w:p>
        </w:tc>
      </w:tr>
    </w:tbl>
    <w:p>
      <w:pPr>
        <w:widowControl/>
        <w:spacing w:after="40"/>
      </w:pPr>
    </w:p>
    <w:p>
      <w:pPr>
        <w:pStyle w:val="Heading2"/>
        <w:keepNext/>
        <w:widowControl/>
      </w:pPr>
      <w:r>
        <w:rPr>
          <w:rFonts w:ascii="Aptos" w:hAnsi="Aptos"/>
        </w:rPr>
        <w:t>Scenario Design</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Scenario</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Narrative</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Minimum linked variables</w:t>
            </w:r>
          </w:p>
        </w:tc>
      </w:tr>
      <w:tr>
        <w:trPr>
          <w:cantSplit w:val="true"/>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Base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Most supportable operating path using available evidence.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Revenue drivers, margins, NWC, capex, tax.</w:t>
            </w:r>
          </w:p>
        </w:tc>
      </w:tr>
      <w:tr>
        <w:trPr>
          <w:cantSplit w:val="true"/>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Upside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Specific commercial or operating successes with timing and capacity support.</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Higher volume/price, operating leverage, required investment.</w:t>
            </w:r>
          </w:p>
        </w:tc>
      </w:tr>
      <w:tr>
        <w:trPr>
          <w:cantSplit w:val="true"/>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Downside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Plausible failure modes rather than a uniform haircut.</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Slower sales, margin pressure, delayed collections, inventory build, financing need.</w:t>
            </w:r>
          </w:p>
        </w:tc>
      </w:tr>
    </w:tbl>
    <w:p>
      <w:pPr>
        <w:widowControl/>
        <w:spacing w:after="40"/>
      </w:pPr>
    </w:p>
    <w:p>
      <w:pPr>
        <w:keepLines/>
        <w:widowControl/>
      </w:pPr>
      <w:r>
        <w:rPr>
          <w:rFonts w:ascii="Aptos" w:hAnsi="Aptos"/>
          <w:b/>
        </w:rPr>
        <w:t xml:space="preserve">Circularity rule. </w:t>
      </w:r>
      <w:r>
        <w:rPr>
          <w:rFonts w:ascii="Aptos" w:hAnsi="Aptos"/>
        </w:rPr>
        <w:t>A cash sweep, interest-on-average-debt calculation, or revolver draw can create circular references. During Week 2, either use an iterative setting deliberately and document it, or break the circularity with beginning-of-period debt or a controlled copy-and-paste process. Never allow an unexplained circular warning to remain in the submission model.</w:t>
      </w:r>
    </w:p>
    <w:p>
      <w:pPr>
        <w:pStyle w:val="Heading1"/>
        <w:keepNext/>
        <w:widowControl/>
      </w:pPr>
      <w:r>
        <w:rPr>
          <w:rFonts w:ascii="Aptos" w:hAnsi="Aptos"/>
        </w:rPr>
        <w:t>Enterprise Value to Equity Value Bridge</w:t>
      </w:r>
    </w:p>
    <w:p>
      <w:pPr>
        <w:widowControl/>
      </w:pPr>
      <w:r>
        <w:rPr>
          <w:rFonts w:ascii="Aptos" w:hAnsi="Aptos"/>
        </w:rPr>
        <w:t>Enterprise value represents the value of operating assets available to capital providers. Equity value is what remains for ordinary shareholders after adding non-operating assets and deducting debt and other senior or debt-like claims. Classification matters more than memorising one formula.</w:t>
      </w:r>
    </w:p>
    <w:p>
      <w:pPr>
        <w:widowControl/>
        <w:spacing w:after="80"/>
        <w:ind w:left="317"/>
      </w:pPr>
      <w:r>
        <w:rPr>
          <w:rFonts w:ascii="Aptos" w:hAnsi="Aptos"/>
          <w:b/>
        </w:rPr>
        <w:t xml:space="preserve">Equity value  </w:t>
      </w:r>
      <w:r>
        <w:rPr>
          <w:rFonts w:ascii="Aptos Mono" w:hAnsi="Aptos Mono"/>
        </w:rPr>
        <w:t>Enterprise value + Excess cash + Non-operating investments − Debt − Lease liabilities − Preferred stock − Minority interest − Other debt-like claims</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Item</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Default direction</w:t>
            </w:r>
          </w:p>
        </w:tc>
        <w:tc>
          <w:tcPr>
            <w:tcW w:type="dxa" w:w="61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Questions before classification</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Cash and equivalents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Add</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Is it excess, unrestricted, accessible, and not needed for operations?</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Bank debt and bonds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Deduct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Use principal or market value consistently with the valuation method.</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Lease liabilities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Usually deduct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Ensure EBITDA and enterprise multiples treat leases consistently.</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Pension deficit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Often deduct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Is it funded, recurring, and already reflected in cash-flow forecasts?</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Minority interest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Deduct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Does forecast EBITDA include the consolidated subsidiary?</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Associates and investments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Add if non-operating</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Are their earnings excluded from operating cash flow?</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Supplier finance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Potentially deduct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Is it economically borrowing despite payable presentation?</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Provisions and tax liabilities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Case-specific</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Are they operating, debt-like, probability-weighted, and already forecast?</w:t>
            </w:r>
          </w:p>
        </w:tc>
      </w:tr>
    </w:tbl>
    <w:p>
      <w:pPr>
        <w:widowControl/>
        <w:spacing w:after="40"/>
      </w:pPr>
    </w:p>
    <w:p>
      <w:pPr>
        <w:pStyle w:val="Heading2"/>
        <w:keepNext/>
        <w:widowControl/>
      </w:pPr>
      <w:r>
        <w:rPr>
          <w:rFonts w:ascii="Aptos" w:hAnsi="Aptos"/>
        </w:rPr>
        <w:t>Minimum Error Check Panel</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Check</w:t>
            </w:r>
          </w:p>
        </w:tc>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Formula or test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Pass condition</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Historical tie</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Model total − reported total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0</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Cash flow</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Opening cash + cash movement − closing cash</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0</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Balance sheet</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Assets − liabilities − equity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0</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NWC movement</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Closing operating NWC − opening operating NWC − forecast change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0</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Fixed assets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Opening PP&amp;E + capex − depreciation − disposals − closing PP&amp;E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0</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Debt roll-forward</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Opening debt + draws − repayments − closing debt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0</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EV bridge</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EV plus additions less deductions − equity value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0</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Scenario</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One and only one active case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TRUE</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Sign and units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Selected totals and per-share outputs agree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TRUE</w:t>
            </w:r>
          </w:p>
        </w:tc>
      </w:tr>
      <w:tr>
        <w:trPr>
          <w:cantSplit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No model errors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Count of #REF!, #DIV/0!, #VALUE!, and unintended circulars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0</w:t>
            </w:r>
          </w:p>
        </w:tc>
      </w:tr>
    </w:tbl>
    <w:p>
      <w:pPr>
        <w:widowControl/>
        <w:spacing w:after="40"/>
      </w:pPr>
    </w:p>
    <w:p>
      <w:pPr>
        <w:pStyle w:val="Heading1"/>
        <w:keepNext/>
        <w:widowControl/>
      </w:pPr>
      <w:r>
        <w:rPr>
          <w:rFonts w:ascii="Aptos" w:hAnsi="Aptos"/>
        </w:rPr>
        <w:t>Worked Example Lotus Consumer</w:t>
      </w:r>
    </w:p>
    <w:p>
      <w:pPr>
        <w:widowControl/>
      </w:pPr>
      <w:r>
        <w:rPr>
          <w:rFonts w:ascii="Aptos" w:hAnsi="Aptos"/>
        </w:rPr>
        <w:t>Lotus Consumer is a fictional listed consumer-products target. Amounts are VND billion. The case is intentionally simplified so the team can focus on architecture, traceability, and judgment.</w:t>
      </w:r>
    </w:p>
    <w:p>
      <w:pPr>
        <w:pStyle w:val="Heading2"/>
        <w:keepNext/>
        <w:widowControl/>
      </w:pPr>
      <w:r>
        <w:rPr>
          <w:rFonts w:ascii="Aptos" w:hAnsi="Aptos"/>
        </w:rPr>
        <w:t>Reported Historical Performance</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cantSplit w:val="true"/>
        </w:trPr>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VND bn</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2023A</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2024A</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2025A</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Revenue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1,000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1,150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1,300</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Cost of sales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(650)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(736)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(819)</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Gross profit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350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414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481</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SG&amp;A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(190)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(207)</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(221)</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EBITDA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160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207</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260</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D&amp;A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(50)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(58)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(65)</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EBIT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110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149</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195</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Trade receivables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120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132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142</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Inventory</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100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108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116</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Trade payables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80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86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94</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Capital expenditure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70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75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82</w:t>
            </w:r>
          </w:p>
        </w:tc>
      </w:tr>
    </w:tbl>
    <w:p>
      <w:pPr>
        <w:widowControl/>
        <w:spacing w:after="40"/>
      </w:pPr>
    </w:p>
    <w:p>
      <w:pPr>
        <w:pStyle w:val="Heading2"/>
        <w:keepNext/>
        <w:widowControl/>
      </w:pPr>
      <w:r>
        <w:rPr>
          <w:rFonts w:ascii="Aptos" w:hAnsi="Aptos"/>
        </w:rPr>
        <w:t>Historical Diagnostics</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cantSplit w:val="true"/>
        </w:trPr>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Metric</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2023A</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2024A</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2025A</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Revenue growth</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15.0%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13.0%</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Gross margin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35.0%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36.0%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37.0%</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EBITDA margin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16.0%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18.0%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20.0%</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Receivable days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43.8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41.9</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39.9</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Inventory days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56.2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53.5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51.7</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Payable days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44.9</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42.7</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41.9</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Operating NWC</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140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154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164</w:t>
            </w:r>
          </w:p>
        </w:tc>
      </w:tr>
      <w:tr>
        <w:trPr>
          <w:cantSplit w:val="true"/>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Capex ÷ revenue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7.0%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6.5%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6.3%</w:t>
            </w:r>
          </w:p>
        </w:tc>
      </w:tr>
    </w:tbl>
    <w:p>
      <w:pPr>
        <w:widowControl/>
        <w:spacing w:after="40"/>
      </w:pPr>
    </w:p>
    <w:p>
      <w:pPr>
        <w:keepLines/>
        <w:widowControl/>
      </w:pPr>
      <w:r>
        <w:rPr>
          <w:rFonts w:ascii="Aptos" w:hAnsi="Aptos"/>
          <w:b/>
        </w:rPr>
        <w:t xml:space="preserve">Initial interpretation. </w:t>
      </w:r>
      <w:r>
        <w:rPr>
          <w:rFonts w:ascii="Aptos" w:hAnsi="Aptos"/>
        </w:rPr>
        <w:t>Revenue growth is strong, margins expand, and working-capital days improve. That combination is attractive but demands evidence: pricing, mix, cost deflation, utilisation, collection quality, inventory ageing, and whether expenses have been capitalised or classified outside EBITDA. The trend should increase curiosity, not automatically increase the valuation multiple.</w:t>
      </w:r>
    </w:p>
    <w:p>
      <w:pPr>
        <w:pStyle w:val="Heading2"/>
        <w:keepNext/>
        <w:widowControl/>
      </w:pPr>
      <w:r>
        <w:rPr>
          <w:rFonts w:ascii="Aptos" w:hAnsi="Aptos"/>
        </w:rPr>
        <w:t>Normalisation Facts</w:t>
      </w:r>
    </w:p>
    <w:p>
      <w:pPr>
        <w:pStyle w:val="ListBullet"/>
        <w:widowControl/>
        <w:spacing w:after="60"/>
      </w:pPr>
      <w:r>
        <w:rPr>
          <w:rFonts w:ascii="Aptos" w:hAnsi="Aptos"/>
        </w:rPr>
        <w:t>2025 SG&amp;A includes a VND 18 billion one-time factory relocation cost paid in cash.</w:t>
      </w:r>
    </w:p>
    <w:p>
      <w:pPr>
        <w:pStyle w:val="ListBullet"/>
        <w:widowControl/>
        <w:spacing w:after="60"/>
      </w:pPr>
      <w:r>
        <w:rPr>
          <w:rFonts w:ascii="Aptos" w:hAnsi="Aptos"/>
        </w:rPr>
        <w:t>2025 EBITDA includes a VND 6 billion insurance recovery related to the relocation.</w:t>
      </w:r>
    </w:p>
    <w:p>
      <w:pPr>
        <w:pStyle w:val="ListBullet"/>
        <w:widowControl/>
        <w:spacing w:after="60"/>
      </w:pPr>
      <w:r>
        <w:rPr>
          <w:rFonts w:ascii="Aptos" w:hAnsi="Aptos"/>
        </w:rPr>
        <w:t>Management has excluded VND 8 billion of recurring share-based compensation from its adjusted EBITDA presentation; the reported figures above include that cost.</w:t>
      </w:r>
    </w:p>
    <w:p>
      <w:pPr>
        <w:pStyle w:val="ListBullet"/>
        <w:widowControl/>
        <w:spacing w:after="60"/>
      </w:pPr>
      <w:r>
        <w:rPr>
          <w:rFonts w:ascii="Aptos" w:hAnsi="Aptos"/>
        </w:rPr>
        <w:t>The forecast should include replacement employee compensation and therefore should not add back share-based compensation.</w:t>
      </w:r>
    </w:p>
    <w:p>
      <w:pPr>
        <w:widowControl/>
        <w:spacing w:after="80"/>
        <w:ind w:left="317"/>
      </w:pPr>
      <w:r>
        <w:rPr>
          <w:rFonts w:ascii="Aptos" w:hAnsi="Aptos"/>
          <w:b/>
        </w:rPr>
        <w:t xml:space="preserve">2025 adjusted EBITDA  </w:t>
      </w:r>
      <w:r>
        <w:rPr>
          <w:rFonts w:ascii="Aptos Mono" w:hAnsi="Aptos Mono"/>
        </w:rPr>
        <w:t>260 + 18 − 6 = 272</w:t>
      </w:r>
    </w:p>
    <w:p>
      <w:pPr>
        <w:widowControl/>
      </w:pPr>
      <w:r>
        <w:rPr>
          <w:rFonts w:ascii="Aptos" w:hAnsi="Aptos"/>
        </w:rPr>
        <w:t>The adjusted margin is 20.9%. The team should retain reported EBITDA and show the VND 12 billion net adjustment separately. The forecast must not include the relocation cost or insurance recovery, but must retain recurring compensation.</w:t>
      </w:r>
    </w:p>
    <w:p>
      <w:pPr>
        <w:pStyle w:val="Heading2"/>
        <w:keepNext/>
        <w:widowControl/>
      </w:pPr>
      <w:r>
        <w:rPr>
          <w:rFonts w:ascii="Aptos" w:hAnsi="Aptos"/>
        </w:rPr>
        <w:t>Base Case Forecast Assumptions</w:t>
      </w:r>
    </w:p>
    <w:tbl>
      <w:tblPr>
        <w:tblW w:type="auto" w:w="0"/>
        <w:jc w:val="center"/>
        <w:tblLayout w:type="fixed"/>
        <w:tblLook w:firstColumn="1" w:firstRow="1" w:lastColumn="0" w:lastRow="0" w:noHBand="0" w:noVBand="1" w:val="04A0"/>
      </w:tblPr>
      <w:tblGrid>
        <w:gridCol w:w="1256"/>
        <w:gridCol w:w="1256"/>
        <w:gridCol w:w="1256"/>
        <w:gridCol w:w="1256"/>
        <w:gridCol w:w="1256"/>
        <w:gridCol w:w="1256"/>
        <w:gridCol w:w="1256"/>
        <w:gridCol w:w="1256"/>
      </w:tblGrid>
      <w:tr>
        <w:trPr>
          <w:tblHeader w:val="true"/>
          <w:cantSplit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Year</w:t>
            </w:r>
          </w:p>
        </w:tc>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Growth</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Gross margin</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SG&amp;A ÷ sales</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AR days</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Inv days</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AP days</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Capex ÷ sales</w:t>
            </w:r>
          </w:p>
        </w:tc>
      </w:tr>
      <w:tr>
        <w:trPr>
          <w:cantSplit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2026</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8.0%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37.5%</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16.5%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40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52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42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6.5%</w:t>
            </w:r>
          </w:p>
        </w:tc>
      </w:tr>
      <w:tr>
        <w:trPr>
          <w:cantSplit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2027</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7.0%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38.0%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16.2%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39</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51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43</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6.3%</w:t>
            </w:r>
          </w:p>
        </w:tc>
      </w:tr>
      <w:tr>
        <w:trPr>
          <w:cantSplit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2028</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6.0%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38.3%</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16.0%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38</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50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44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6.2%</w:t>
            </w:r>
          </w:p>
        </w:tc>
      </w:tr>
      <w:tr>
        <w:trPr>
          <w:cantSplit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2029</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5.0%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38.5%</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15.7%</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38</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50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44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6.0%</w:t>
            </w:r>
          </w:p>
        </w:tc>
      </w:tr>
      <w:tr>
        <w:trPr>
          <w:cantSplit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2030</w:t>
            </w:r>
          </w:p>
        </w:tc>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4.0%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38.5%</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15.5%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38</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50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44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6.0%</w:t>
            </w:r>
          </w:p>
        </w:tc>
      </w:tr>
    </w:tbl>
    <w:p>
      <w:pPr>
        <w:widowControl/>
        <w:spacing w:after="40"/>
      </w:pPr>
    </w:p>
    <w:p>
      <w:pPr>
        <w:widowControl/>
      </w:pPr>
      <w:r>
        <w:rPr>
          <w:rFonts w:ascii="Aptos" w:hAnsi="Aptos"/>
        </w:rPr>
        <w:t>Narrative: growth moderates as the company scales; gross margin improves modestly with mix and utilisation; SG&amp;A shows measured operating leverage; working-capital days remain close to the demonstrated 2025 level; and capex stays above depreciation while growth remains elevated. These are hypotheses to defend, not facts supplied by the historical trend.</w:t>
      </w:r>
    </w:p>
    <w:p>
      <w:pPr>
        <w:pStyle w:val="Heading2"/>
        <w:keepNext/>
        <w:widowControl/>
      </w:pPr>
      <w:r>
        <w:rPr>
          <w:rFonts w:ascii="Aptos" w:hAnsi="Aptos"/>
        </w:rPr>
        <w:t>Base Case Forecast Output</w:t>
      </w:r>
    </w:p>
    <w:tbl>
      <w:tblPr>
        <w:tblW w:type="auto" w:w="0"/>
        <w:jc w:val="center"/>
        <w:tblLayout w:type="fixed"/>
        <w:tblLook w:firstColumn="1" w:firstRow="1" w:lastColumn="0" w:lastRow="0" w:noHBand="0" w:noVBand="1" w:val="04A0"/>
      </w:tblPr>
      <w:tblGrid>
        <w:gridCol w:w="1675"/>
        <w:gridCol w:w="1675"/>
        <w:gridCol w:w="1675"/>
        <w:gridCol w:w="1675"/>
        <w:gridCol w:w="1675"/>
        <w:gridCol w:w="1675"/>
      </w:tblGrid>
      <w:tr>
        <w:trPr>
          <w:tblHeader w:val="true"/>
          <w:cantSplit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VND bn</w:t>
            </w:r>
          </w:p>
        </w:tc>
        <w:tc>
          <w:tcPr>
            <w:tcW w:type="dxa" w:w="123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2026E</w:t>
            </w:r>
          </w:p>
        </w:tc>
        <w:tc>
          <w:tcPr>
            <w:tcW w:type="dxa" w:w="123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2027E</w:t>
            </w:r>
          </w:p>
        </w:tc>
        <w:tc>
          <w:tcPr>
            <w:tcW w:type="dxa" w:w="123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2028E</w:t>
            </w:r>
          </w:p>
        </w:tc>
        <w:tc>
          <w:tcPr>
            <w:tcW w:type="dxa" w:w="123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2029E</w:t>
            </w:r>
          </w:p>
        </w:tc>
        <w:tc>
          <w:tcPr>
            <w:tcW w:type="dxa" w:w="123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2030E</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Revenue</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1,404</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1,502</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1,592</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1,672</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1,739</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EBITDA</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295</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327</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355</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381</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400</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EBITDA margin</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21.0%</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21.8%</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22.3%</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22.8%</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23.0%</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EBIT</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225</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252</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275</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298</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313</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Operating NWC</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178</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181</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182</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191</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199</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Change in NWC</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14</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3</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1</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9</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8</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Capital expenditure</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(91)</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(95)</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(99)</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(100)</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6"/>
              </w:rPr>
              <w:t>(104)</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Unlevered FCF</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145</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179</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200</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212</w:t>
            </w:r>
          </w:p>
        </w:tc>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6"/>
              </w:rPr>
              <w:t>225</w:t>
            </w:r>
          </w:p>
        </w:tc>
      </w:tr>
    </w:tbl>
    <w:p>
      <w:pPr>
        <w:widowControl/>
        <w:spacing w:after="40"/>
      </w:pPr>
    </w:p>
    <w:p>
      <w:pPr>
        <w:pStyle w:val="Heading2"/>
        <w:keepNext/>
        <w:widowControl/>
      </w:pPr>
      <w:r>
        <w:rPr>
          <w:rFonts w:ascii="Aptos" w:hAnsi="Aptos"/>
        </w:rPr>
        <w:t>EV to Equity Illustration</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Bridge item</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VND bn</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7"/>
              </w:rPr>
              <w:t>Treatment</w:t>
            </w:r>
          </w:p>
        </w:tc>
      </w:tr>
      <w:tr>
        <w:trPr>
          <w:cantSplit w:val="true"/>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Enterprise value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2,400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Starting point</w:t>
            </w:r>
          </w:p>
        </w:tc>
      </w:tr>
      <w:tr>
        <w:trPr>
          <w:cantSplit w:val="true"/>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Cash and equivalents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+100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Assumed unrestricted and excess</w:t>
            </w:r>
          </w:p>
        </w:tc>
      </w:tr>
      <w:tr>
        <w:trPr>
          <w:cantSplit w:val="true"/>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Non-operating investment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+20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Not reflected in operating forecast</w:t>
            </w:r>
          </w:p>
        </w:tc>
      </w:tr>
      <w:tr>
        <w:trPr>
          <w:cantSplit w:val="true"/>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Borrowings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(250)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Debt-like claim</w:t>
            </w:r>
          </w:p>
        </w:tc>
      </w:tr>
      <w:tr>
        <w:trPr>
          <w:cantSplit w:val="true"/>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Lease liabilities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(30)</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Consistent with pre-lease EBITDA</w:t>
            </w:r>
          </w:p>
        </w:tc>
      </w:tr>
      <w:tr>
        <w:trPr>
          <w:cantSplit w:val="true"/>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Pension deficit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right"/>
            </w:pPr>
            <w:r>
              <w:rPr>
                <w:sz w:val="17"/>
              </w:rPr>
              <w:t>(15)</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7"/>
              </w:rPr>
              <w:t>Debt-like claim</w:t>
            </w:r>
          </w:p>
        </w:tc>
      </w:tr>
      <w:tr>
        <w:trPr>
          <w:cantSplit w:val="true"/>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Illustrative equity value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right"/>
            </w:pPr>
            <w:r>
              <w:rPr>
                <w:sz w:val="17"/>
              </w:rPr>
              <w:t>2,225</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7"/>
              </w:rPr>
              <w:t>Before transaction fees or adjustments</w:t>
            </w:r>
          </w:p>
        </w:tc>
      </w:tr>
    </w:tbl>
    <w:p>
      <w:pPr>
        <w:widowControl/>
        <w:spacing w:after="40"/>
      </w:pPr>
    </w:p>
    <w:p>
      <w:pPr>
        <w:pStyle w:val="Heading1"/>
        <w:keepNext/>
        <w:widowControl/>
      </w:pPr>
      <w:r>
        <w:rPr>
          <w:rFonts w:ascii="Aptos" w:hAnsi="Aptos"/>
        </w:rPr>
        <w:t>Team Workshop</w:t>
      </w:r>
    </w:p>
    <w:p>
      <w:pPr>
        <w:pStyle w:val="Heading2"/>
        <w:keepNext/>
        <w:widowControl/>
      </w:pPr>
      <w:r>
        <w:rPr>
          <w:rFonts w:ascii="Aptos" w:hAnsi="Aptos"/>
        </w:rPr>
        <w:t>Exercise 1 Diagnose the History</w:t>
      </w:r>
    </w:p>
    <w:p>
      <w:pPr>
        <w:widowControl/>
        <w:spacing w:after="80"/>
        <w:ind w:left="403" w:hanging="403"/>
      </w:pPr>
      <w:r>
        <w:rPr>
          <w:rFonts w:ascii="Aptos" w:hAnsi="Aptos"/>
          <w:b w:val="0"/>
        </w:rPr>
        <w:t xml:space="preserve">1.  </w:t>
      </w:r>
      <w:r>
        <w:rPr>
          <w:rFonts w:ascii="Aptos" w:hAnsi="Aptos"/>
        </w:rPr>
        <w:t>Identify three attractive historical signals and three diligence questions raised by the same evidence.</w:t>
      </w:r>
    </w:p>
    <w:p>
      <w:pPr>
        <w:widowControl/>
        <w:spacing w:after="80"/>
        <w:ind w:left="403" w:hanging="403"/>
      </w:pPr>
      <w:r>
        <w:rPr>
          <w:rFonts w:ascii="Aptos" w:hAnsi="Aptos"/>
          <w:b w:val="0"/>
        </w:rPr>
        <w:t xml:space="preserve">2.  </w:t>
      </w:r>
      <w:r>
        <w:rPr>
          <w:rFonts w:ascii="Aptos" w:hAnsi="Aptos"/>
        </w:rPr>
        <w:t>Calculate 2025 reported and adjusted EBITDA margins.</w:t>
      </w:r>
    </w:p>
    <w:p>
      <w:pPr>
        <w:widowControl/>
        <w:spacing w:after="80"/>
        <w:ind w:left="403" w:hanging="403"/>
      </w:pPr>
      <w:r>
        <w:rPr>
          <w:rFonts w:ascii="Aptos" w:hAnsi="Aptos"/>
          <w:b w:val="0"/>
        </w:rPr>
        <w:t xml:space="preserve">3.  </w:t>
      </w:r>
      <w:r>
        <w:rPr>
          <w:rFonts w:ascii="Aptos" w:hAnsi="Aptos"/>
        </w:rPr>
        <w:t>Explain why improving receivable days does not, by itself, prove revenue quality.</w:t>
      </w:r>
    </w:p>
    <w:p>
      <w:pPr>
        <w:pStyle w:val="Heading2"/>
        <w:keepNext/>
        <w:widowControl/>
      </w:pPr>
      <w:r>
        <w:rPr>
          <w:rFonts w:ascii="Aptos" w:hAnsi="Aptos"/>
        </w:rPr>
        <w:t>Exercise 2 Repair Weak Forecast Logic</w:t>
      </w:r>
    </w:p>
    <w:p>
      <w:pPr>
        <w:widowControl/>
      </w:pPr>
      <w:r>
        <w:rPr>
          <w:rFonts w:ascii="Aptos" w:hAnsi="Aptos"/>
        </w:rPr>
        <w:t>A teammate proposes: revenue grows 10% annually, EBITDA margin reaches 25% by 2030, NWC remains at VND 164 billion, and capex equals depreciation. Identify at least four flaws and replace them with driver-based assumptions.</w:t>
      </w:r>
    </w:p>
    <w:p>
      <w:pPr>
        <w:pStyle w:val="Heading2"/>
        <w:keepNext/>
        <w:widowControl/>
      </w:pPr>
      <w:r>
        <w:rPr>
          <w:rFonts w:ascii="Aptos" w:hAnsi="Aptos"/>
        </w:rPr>
        <w:t>Exercise 3 Information Risk</w:t>
      </w:r>
    </w:p>
    <w:p>
      <w:pPr>
        <w:widowControl/>
      </w:pPr>
      <w:r>
        <w:rPr>
          <w:rFonts w:ascii="Aptos" w:hAnsi="Aptos"/>
        </w:rPr>
        <w:t>Assume the target cannot provide receivables ageing, inventory ageing, or a capex register. Management nevertheless requests that the team retain the base case. Specify the model, price, and diligence responses.</w:t>
      </w:r>
    </w:p>
    <w:p>
      <w:pPr>
        <w:pStyle w:val="Heading2"/>
        <w:keepNext/>
        <w:widowControl/>
      </w:pPr>
      <w:r>
        <w:rPr>
          <w:rFonts w:ascii="Aptos" w:hAnsi="Aptos"/>
        </w:rPr>
        <w:t>Exercise 4 Model Review</w:t>
      </w:r>
    </w:p>
    <w:p>
      <w:pPr>
        <w:widowControl/>
      </w:pPr>
      <w:r>
        <w:rPr>
          <w:rFonts w:ascii="Aptos" w:hAnsi="Aptos"/>
        </w:rPr>
        <w:t>A cold reviewer changes the 2027 gross-margin assumption. EBITDA changes, but tax, NWC, and free cash flow do not. Diagnose the likely architecture errors and state the checks that should detect them.</w:t>
      </w:r>
    </w:p>
    <w:p>
      <w:pPr>
        <w:pStyle w:val="Heading2"/>
        <w:keepNext/>
        <w:widowControl/>
      </w:pPr>
      <w:r>
        <w:rPr>
          <w:rFonts w:ascii="Aptos" w:hAnsi="Aptos"/>
        </w:rPr>
        <w:t>Exercise 5 Oral Defence</w:t>
      </w:r>
    </w:p>
    <w:p>
      <w:pPr>
        <w:widowControl/>
      </w:pPr>
      <w:r>
        <w:rPr>
          <w:rFonts w:ascii="Aptos" w:hAnsi="Aptos"/>
        </w:rPr>
        <w:t>Prepare a 90-second response to: “Why should the board trust your forecast when historical earnings contain adjustments and management data are incomplete?” Your response must state the evidence, the adjustment, the scenario response, and the decision boundary.</w:t>
      </w:r>
    </w:p>
    <w:p>
      <w:pPr>
        <w:pStyle w:val="Heading1"/>
        <w:keepNext/>
        <w:widowControl/>
      </w:pPr>
      <w:r>
        <w:rPr>
          <w:rFonts w:ascii="Aptos" w:hAnsi="Aptos"/>
        </w:rPr>
        <w:t>Answer Key and Instructor Notes</w:t>
      </w:r>
    </w:p>
    <w:p>
      <w:pPr>
        <w:pStyle w:val="Heading2"/>
        <w:keepNext/>
        <w:widowControl/>
      </w:pPr>
      <w:r>
        <w:rPr>
          <w:rFonts w:ascii="Aptos" w:hAnsi="Aptos"/>
        </w:rPr>
        <w:t>Exercise 1</w:t>
      </w:r>
    </w:p>
    <w:p>
      <w:pPr>
        <w:widowControl/>
        <w:spacing w:after="100"/>
        <w:ind w:left="288"/>
      </w:pPr>
      <w:r>
        <w:rPr>
          <w:rFonts w:ascii="Aptos" w:hAnsi="Aptos"/>
          <w:b/>
        </w:rPr>
        <w:t xml:space="preserve">Answer  </w:t>
      </w:r>
      <w:r>
        <w:rPr>
          <w:rFonts w:ascii="Aptos" w:hAnsi="Aptos"/>
        </w:rPr>
        <w:t>Attractive signals include double-digit revenue growth, expanding gross and EBITDA margins, and improving receivable and inventory days. The same pattern raises questions about revenue recognition, provision adequacy, cost capitalisation or reclassification, sustainable pricing and mix, inventory ageing, supplier terms, and whether year-end balances are representative.</w:t>
      </w:r>
    </w:p>
    <w:p>
      <w:pPr>
        <w:widowControl/>
        <w:spacing w:after="100"/>
        <w:ind w:left="288"/>
      </w:pPr>
      <w:r>
        <w:rPr>
          <w:rFonts w:ascii="Aptos" w:hAnsi="Aptos"/>
          <w:b/>
        </w:rPr>
        <w:t xml:space="preserve">Answer  </w:t>
      </w:r>
      <w:r>
        <w:rPr>
          <w:rFonts w:ascii="Aptos" w:hAnsi="Aptos"/>
        </w:rPr>
        <w:t>Reported 2025 EBITDA margin is 260 ÷ 1,300 = 20.0%. Adjusted EBITDA is 260 + 18 − 6 = 272, so adjusted margin is 20.9%. The VND 8 billion recurring share-based compensation remains an operating cost.</w:t>
      </w:r>
    </w:p>
    <w:p>
      <w:pPr>
        <w:widowControl/>
        <w:spacing w:after="100"/>
        <w:ind w:left="288"/>
      </w:pPr>
      <w:r>
        <w:rPr>
          <w:rFonts w:ascii="Aptos" w:hAnsi="Aptos"/>
          <w:b/>
        </w:rPr>
        <w:t xml:space="preserve">Answer  </w:t>
      </w:r>
      <w:r>
        <w:rPr>
          <w:rFonts w:ascii="Aptos" w:hAnsi="Aptos"/>
        </w:rPr>
        <w:t>Receivable days may improve because of seasonality, factoring, changes in cash-versus-credit mix, a year-end collection push, reclassification, or a denominator distorted by revenue recognition. Review averages, ageing, cash receipts after year-end, credit terms, write-offs, and any factoring.</w:t>
      </w:r>
    </w:p>
    <w:p>
      <w:pPr>
        <w:pStyle w:val="Heading2"/>
        <w:keepNext/>
        <w:widowControl/>
      </w:pPr>
      <w:r>
        <w:rPr>
          <w:rFonts w:ascii="Aptos" w:hAnsi="Aptos"/>
        </w:rPr>
        <w:t>Exercise 2</w:t>
      </w:r>
    </w:p>
    <w:p>
      <w:pPr>
        <w:widowControl/>
        <w:spacing w:after="100"/>
        <w:ind w:left="288"/>
      </w:pPr>
      <w:r>
        <w:rPr>
          <w:rFonts w:ascii="Aptos" w:hAnsi="Aptos"/>
          <w:b/>
        </w:rPr>
        <w:t xml:space="preserve">Answer  </w:t>
      </w:r>
      <w:r>
        <w:rPr>
          <w:rFonts w:ascii="Aptos" w:hAnsi="Aptos"/>
        </w:rPr>
        <w:t>The proposal extrapolates growth without price, volume, customer, capacity, or market support; expands margin without a cost bridge; freezes NWC despite growth; assumes capex equals depreciation without testing maintenance and growth investment; and omits downside mechanics. Replace it with explicit revenue and cost drivers, day-based NWC, a capex plan linked to capacity and asset lives, and coherent scenarios.</w:t>
      </w:r>
    </w:p>
    <w:p>
      <w:pPr>
        <w:pStyle w:val="Heading2"/>
        <w:keepNext/>
        <w:widowControl/>
      </w:pPr>
      <w:r>
        <w:rPr>
          <w:rFonts w:ascii="Aptos" w:hAnsi="Aptos"/>
        </w:rPr>
        <w:t>Exercise 3</w:t>
      </w:r>
    </w:p>
    <w:p>
      <w:pPr>
        <w:widowControl/>
        <w:spacing w:after="100"/>
        <w:ind w:left="288"/>
      </w:pPr>
      <w:r>
        <w:rPr>
          <w:rFonts w:ascii="Aptos" w:hAnsi="Aptos"/>
          <w:b/>
        </w:rPr>
        <w:t xml:space="preserve">Answer  </w:t>
      </w:r>
      <w:r>
        <w:rPr>
          <w:rFonts w:ascii="Aptos" w:hAnsi="Aptos"/>
        </w:rPr>
        <w:t>Do not treat missing schedules as neutral. In the model, hold or worsen collection and inventory days in the downside case, test bad-debt and obsolescence adjustments, and raise maintenance capex if the asset base cannot be verified. In pricing, widen the valuation range or reduce the price ceiling. In diligence, make the three schedules explicit information requirements and state whether non-delivery is a condition to pause, renegotiate, protect contractually, or decline the deal.</w:t>
      </w:r>
    </w:p>
    <w:p>
      <w:pPr>
        <w:pStyle w:val="Heading2"/>
        <w:keepNext/>
        <w:widowControl/>
      </w:pPr>
      <w:r>
        <w:rPr>
          <w:rFonts w:ascii="Aptos" w:hAnsi="Aptos"/>
        </w:rPr>
        <w:t>Exercise 4</w:t>
      </w:r>
    </w:p>
    <w:p>
      <w:pPr>
        <w:widowControl/>
        <w:spacing w:after="100"/>
        <w:ind w:left="288"/>
      </w:pPr>
      <w:r>
        <w:rPr>
          <w:rFonts w:ascii="Aptos" w:hAnsi="Aptos"/>
          <w:b/>
        </w:rPr>
        <w:t xml:space="preserve">Answer  </w:t>
      </w:r>
      <w:r>
        <w:rPr>
          <w:rFonts w:ascii="Aptos" w:hAnsi="Aptos"/>
        </w:rPr>
        <w:t>Tax should be linked to EBIT or taxable profit, and free cash flow should respond through after-tax operating profit. If inventory is driven by cost of sales, NWC should also change when gross margin changes. Likely errors include hard-coded tax, hard-coded NWC, a free-cash-flow line linked to stale cells, or copied values. The model should include tax, NWC roll-forward, formula consistency, and source-to-output trace checks.</w:t>
      </w:r>
    </w:p>
    <w:p>
      <w:pPr>
        <w:pStyle w:val="Heading2"/>
        <w:keepNext/>
        <w:widowControl/>
      </w:pPr>
      <w:r>
        <w:rPr>
          <w:rFonts w:ascii="Aptos" w:hAnsi="Aptos"/>
        </w:rPr>
        <w:t>Exercise 5</w:t>
      </w:r>
    </w:p>
    <w:p>
      <w:pPr>
        <w:widowControl/>
        <w:spacing w:after="100"/>
        <w:ind w:left="288"/>
      </w:pPr>
      <w:r>
        <w:rPr>
          <w:rFonts w:ascii="Aptos" w:hAnsi="Aptos"/>
          <w:b/>
        </w:rPr>
        <w:t xml:space="preserve">Answer  </w:t>
      </w:r>
      <w:r>
        <w:rPr>
          <w:rFonts w:ascii="Aptos" w:hAnsi="Aptos"/>
        </w:rPr>
        <w:t>A strong response would say that trust comes from transparency rather than precision: the team preserves reported figures, shows a separately sourced VND 12 billion net normalisation, retains recurring compensation, anchors working capital to demonstrated days, and builds base and downside cases for missing evidence. The recommendation or price ceiling is conditional on specified schedules; if the data do not support the base case, the team moves to the downside valuation or does not proceed.</w:t>
      </w:r>
    </w:p>
    <w:p>
      <w:pPr>
        <w:pStyle w:val="Heading1"/>
        <w:keepNext/>
        <w:widowControl/>
      </w:pPr>
      <w:r>
        <w:rPr>
          <w:rFonts w:ascii="Aptos" w:hAnsi="Aptos"/>
        </w:rPr>
        <w:t>Required Deliverable Templates</w:t>
      </w:r>
    </w:p>
    <w:p>
      <w:pPr>
        <w:pStyle w:val="Heading2"/>
        <w:keepNext/>
        <w:widowControl/>
      </w:pPr>
      <w:r>
        <w:rPr>
          <w:rFonts w:ascii="Aptos" w:hAnsi="Aptos"/>
        </w:rPr>
        <w:t>Source and Assumption Register</w:t>
      </w:r>
    </w:p>
    <w:tbl>
      <w:tblPr>
        <w:tblW w:type="auto" w:w="0"/>
        <w:jc w:val="center"/>
        <w:tblLayout w:type="fixed"/>
        <w:tblLook w:firstColumn="1" w:firstRow="1" w:lastColumn="0" w:lastRow="0" w:noHBand="0" w:noVBand="1" w:val="04A0"/>
      </w:tblPr>
      <w:tblGrid>
        <w:gridCol w:w="1436"/>
        <w:gridCol w:w="1436"/>
        <w:gridCol w:w="1436"/>
        <w:gridCol w:w="1436"/>
        <w:gridCol w:w="1436"/>
        <w:gridCol w:w="1436"/>
        <w:gridCol w:w="1436"/>
      </w:tblGrid>
      <w:tr>
        <w:trPr>
          <w:tblHeader w:val="true"/>
          <w:cantSplit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ID</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Model item</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Value</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Source and location</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Fact or assumption</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Owner</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Status</w:t>
            </w:r>
          </w:p>
        </w:tc>
      </w:tr>
      <w:tr>
        <w:trPr>
          <w:cantSplit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S001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2025 revenue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1,300</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Annual report p. xx</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Fact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Name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Verified</w:t>
            </w:r>
          </w:p>
        </w:tc>
      </w:tr>
      <w:tr>
        <w:trPr>
          <w:cantSplit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A001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2026 volume growth</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6.0%</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Case evidence plus team analysis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Assumption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Name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Open</w:t>
            </w:r>
          </w:p>
        </w:tc>
      </w:tr>
      <w:tr>
        <w:trPr>
          <w:cantSplit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A002</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2026 price growth</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2.0%</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Pricing schedule p. xx</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Assumption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Name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Verified</w:t>
            </w:r>
          </w:p>
        </w:tc>
      </w:tr>
    </w:tbl>
    <w:p>
      <w:pPr>
        <w:widowControl/>
        <w:spacing w:after="40"/>
      </w:pPr>
    </w:p>
    <w:p>
      <w:pPr>
        <w:pStyle w:val="Heading2"/>
        <w:keepNext/>
        <w:widowControl/>
      </w:pPr>
      <w:r>
        <w:rPr>
          <w:rFonts w:ascii="Aptos" w:hAnsi="Aptos"/>
        </w:rPr>
        <w:t>Normalisation Register</w:t>
      </w:r>
    </w:p>
    <w:tbl>
      <w:tblPr>
        <w:tblW w:type="auto" w:w="0"/>
        <w:jc w:val="center"/>
        <w:tblLayout w:type="fixed"/>
        <w:tblLook w:firstColumn="1" w:firstRow="1" w:lastColumn="0" w:lastRow="0" w:noHBand="0" w:noVBand="1" w:val="04A0"/>
      </w:tblPr>
      <w:tblGrid>
        <w:gridCol w:w="1256"/>
        <w:gridCol w:w="1256"/>
        <w:gridCol w:w="1256"/>
        <w:gridCol w:w="1256"/>
        <w:gridCol w:w="1256"/>
        <w:gridCol w:w="1256"/>
        <w:gridCol w:w="1256"/>
        <w:gridCol w:w="1256"/>
      </w:tblGrid>
      <w:tr>
        <w:trPr>
          <w:tblHeader w:val="true"/>
          <w:cantSplit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Item</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Amount</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Direction</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Recurring</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Cash effect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Forecast treatment</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Evidence</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Reviewer</w:t>
            </w:r>
          </w:p>
        </w:tc>
      </w:tr>
      <w:tr>
        <w:trPr>
          <w:cantSplit w:val="true"/>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Factory relocation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18</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Add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No</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2025 outflow</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Exclude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Note x</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w:t>
            </w:r>
          </w:p>
        </w:tc>
      </w:tr>
      <w:tr>
        <w:trPr>
          <w:cantSplit w:val="true"/>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Insurance recovery</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6</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Subtract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No</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2025 inflow</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Exclude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Note x</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w:t>
            </w:r>
          </w:p>
        </w:tc>
      </w:tr>
    </w:tbl>
    <w:p>
      <w:pPr>
        <w:widowControl/>
        <w:spacing w:after="40"/>
      </w:pPr>
    </w:p>
    <w:p>
      <w:pPr>
        <w:pStyle w:val="Heading2"/>
        <w:keepNext/>
        <w:widowControl/>
      </w:pPr>
      <w:r>
        <w:rPr>
          <w:rFonts w:ascii="Aptos" w:hAnsi="Aptos"/>
        </w:rPr>
        <w:t>Forecast Assumption Record</w:t>
      </w:r>
    </w:p>
    <w:tbl>
      <w:tblPr>
        <w:tblW w:type="auto" w:w="0"/>
        <w:jc w:val="center"/>
        <w:tblLayout w:type="fixed"/>
        <w:tblLook w:firstColumn="1" w:firstRow="1" w:lastColumn="0" w:lastRow="0" w:noHBand="0" w:noVBand="1" w:val="04A0"/>
      </w:tblPr>
      <w:tblGrid>
        <w:gridCol w:w="1436"/>
        <w:gridCol w:w="1436"/>
        <w:gridCol w:w="1436"/>
        <w:gridCol w:w="1436"/>
        <w:gridCol w:w="1436"/>
        <w:gridCol w:w="1436"/>
        <w:gridCol w:w="1436"/>
      </w:tblGrid>
      <w:tr>
        <w:trPr>
          <w:tblHeader w:val="true"/>
          <w:cantSplit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Driver</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Historical evidence</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Base</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Upside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Downside</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Operational rationale</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Decision sensitivity</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Revenue growth</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15.0%, 13.0%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8.0%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11.0%</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3.0%</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Price, volume and capacity</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High</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Gross margin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35.0%–37.0%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37.5%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38.0%</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35.5%</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Mix and utilisation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High</w:t>
            </w:r>
          </w:p>
        </w:tc>
      </w:tr>
      <w:tr>
        <w:trPr>
          <w:cantSplit w:val="true"/>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Receivable days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43.8–39.9</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40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38</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50</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Collection discipline</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Medium</w:t>
            </w:r>
          </w:p>
        </w:tc>
      </w:tr>
    </w:tbl>
    <w:p>
      <w:pPr>
        <w:widowControl/>
        <w:spacing w:after="40"/>
      </w:pPr>
    </w:p>
    <w:p>
      <w:pPr>
        <w:pStyle w:val="Heading2"/>
        <w:keepNext/>
        <w:widowControl/>
      </w:pPr>
      <w:r>
        <w:rPr>
          <w:rFonts w:ascii="Aptos" w:hAnsi="Aptos"/>
        </w:rPr>
        <w:t>Independent Review Log</w:t>
      </w:r>
    </w:p>
    <w:tbl>
      <w:tblPr>
        <w:tblW w:type="auto" w:w="0"/>
        <w:jc w:val="center"/>
        <w:tblLayout w:type="fixed"/>
        <w:tblLook w:firstColumn="1" w:firstRow="1" w:lastColumn="0" w:lastRow="0" w:noHBand="0" w:noVBand="1" w:val="04A0"/>
      </w:tblPr>
      <w:tblGrid>
        <w:gridCol w:w="1436"/>
        <w:gridCol w:w="1436"/>
        <w:gridCol w:w="1436"/>
        <w:gridCol w:w="1436"/>
        <w:gridCol w:w="1436"/>
        <w:gridCol w:w="1436"/>
        <w:gridCol w:w="1436"/>
      </w:tblGrid>
      <w:tr>
        <w:trPr>
          <w:tblHeader w:val="true"/>
          <w:cantSplit w:val="true"/>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Date</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Sheet and cell</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Issue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Impact</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Owner</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Resolution</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5"/>
              </w:rPr>
              <w:t>Retest</w:t>
            </w:r>
          </w:p>
        </w:tc>
      </w:tr>
      <w:tr>
        <w:trPr>
          <w:cantSplit w:val="true"/>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dd mmm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Forecast!xx</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Describe error or question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Value, logic, or presentation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Name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5"/>
              </w:rPr>
              <w:t>Action taken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Pass / fail</w:t>
            </w:r>
          </w:p>
        </w:tc>
      </w:tr>
      <w:tr>
        <w:trPr>
          <w:cantSplit w:val="true"/>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dd mmm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Bridge!xx</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Describe error or question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Value, logic, or presentation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Name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5"/>
              </w:rPr>
              <w:t>Action taken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5"/>
              </w:rPr>
              <w:t>Pass / fail</w:t>
            </w:r>
          </w:p>
        </w:tc>
      </w:tr>
    </w:tbl>
    <w:p>
      <w:pPr>
        <w:widowControl/>
        <w:spacing w:after="40"/>
      </w:pPr>
    </w:p>
    <w:p>
      <w:pPr>
        <w:pStyle w:val="Heading1"/>
        <w:keepNext/>
        <w:widowControl/>
      </w:pPr>
      <w:r>
        <w:rPr>
          <w:rFonts w:ascii="Aptos" w:hAnsi="Aptos"/>
        </w:rPr>
        <w:t>Mastery Test</w:t>
      </w:r>
    </w:p>
    <w:p>
      <w:pPr>
        <w:widowControl/>
      </w:pPr>
      <w:r>
        <w:rPr>
          <w:rFonts w:ascii="Aptos" w:hAnsi="Aptos"/>
        </w:rPr>
        <w:t>The team passes Week 2 only when a member who did not build the relevant schedule can reproduce the logic and explain it without notes.</w:t>
      </w:r>
    </w:p>
    <w:tbl>
      <w:tblPr>
        <w:tblW w:type="auto" w:w="0"/>
        <w:jc w:val="center"/>
        <w:tblLayout w:type="fixed"/>
        <w:tblLook w:firstColumn="1" w:firstRow="1" w:lastColumn="0" w:lastRow="0" w:noHBand="0" w:noVBand="1" w:val="04A0"/>
      </w:tblPr>
      <w:tblGrid>
        <w:gridCol w:w="3351"/>
        <w:gridCol w:w="3351"/>
        <w:gridCol w:w="3351"/>
      </w:tblGrid>
      <w:tr>
        <w:trPr>
          <w:tblHeader w:val="true"/>
          <w:cantSplit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Test</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Pass standard</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b/>
                <w:color w:val="FFFFFF"/>
                <w:sz w:val="16"/>
              </w:rPr>
              <w:t>Score</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Historical trace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Five sampled figures trace to a filing page or case exhibit and tie to reported totals.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0–2</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Normalisation</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Every adjustment has recurrence, cash, source, and forecast treatment documented.</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0–2</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Driver logic</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Revenue, margins, NWC, capex, depreciation, and tax have operational drivers.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0–2</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Scenario integrity</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Upside and downside tell coherent operational stories and flow through the full model.</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0–2</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EV bridge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All additions and deductions are classified consistently with the forecast and valuation method.</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0–2</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Checks</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left"/>
            </w:pPr>
            <w:r>
              <w:rPr>
                <w:sz w:val="16"/>
              </w:rPr>
              <w:t>Core checks pass and an independent reviewer has logged and resolved errors.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40" w:lineRule="auto"/>
              <w:jc w:val="center"/>
            </w:pPr>
            <w:r>
              <w:rPr>
                <w:sz w:val="16"/>
              </w:rPr>
              <w:t>0–2</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Oral defence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left"/>
            </w:pPr>
            <w:r>
              <w:rPr>
                <w:sz w:val="16"/>
              </w:rPr>
              <w:t>The team explains the base case, principal uncertainty, and decision boundary in 90 seconds.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0–2</w:t>
            </w:r>
          </w:p>
        </w:tc>
      </w:tr>
    </w:tbl>
    <w:p>
      <w:pPr>
        <w:widowControl/>
        <w:spacing w:after="40"/>
      </w:pPr>
    </w:p>
    <w:p>
      <w:pPr>
        <w:widowControl/>
      </w:pPr>
      <w:r>
        <w:rPr>
          <w:rFonts w:ascii="Aptos" w:hAnsi="Aptos"/>
          <w:b/>
        </w:rPr>
        <w:t xml:space="preserve">Passing threshold  </w:t>
      </w:r>
      <w:r>
        <w:rPr>
          <w:rFonts w:ascii="Aptos" w:hAnsi="Aptos"/>
        </w:rPr>
        <w:t>12 of 14, with no zero in historical trace, driver logic, EV bridge, or checks.</w:t>
      </w:r>
    </w:p>
    <w:p>
      <w:pPr>
        <w:pStyle w:val="Heading2"/>
        <w:keepNext/>
        <w:widowControl/>
      </w:pPr>
      <w:r>
        <w:rPr>
          <w:rFonts w:ascii="Aptos" w:hAnsi="Aptos"/>
        </w:rPr>
        <w:t>Judge Challenge Questions</w:t>
      </w:r>
    </w:p>
    <w:p>
      <w:pPr>
        <w:pStyle w:val="ListBullet"/>
        <w:widowControl/>
        <w:spacing w:after="60"/>
      </w:pPr>
      <w:r>
        <w:rPr>
          <w:rFonts w:ascii="Aptos" w:hAnsi="Aptos"/>
        </w:rPr>
        <w:t>Which historical trend is least reliable, and how did you reflect that uncertainty?</w:t>
      </w:r>
    </w:p>
    <w:p>
      <w:pPr>
        <w:pStyle w:val="ListBullet"/>
        <w:widowControl/>
        <w:spacing w:after="60"/>
      </w:pPr>
      <w:r>
        <w:rPr>
          <w:rFonts w:ascii="Aptos" w:hAnsi="Aptos"/>
        </w:rPr>
        <w:t>What is the largest normalisation adjustment, and why is it truly non-recurring?</w:t>
      </w:r>
    </w:p>
    <w:p>
      <w:pPr>
        <w:pStyle w:val="ListBullet"/>
        <w:widowControl/>
        <w:spacing w:after="60"/>
      </w:pPr>
      <w:r>
        <w:rPr>
          <w:rFonts w:ascii="Aptos" w:hAnsi="Aptos"/>
        </w:rPr>
        <w:t>What operating evidence supports margin expansion?</w:t>
      </w:r>
    </w:p>
    <w:p>
      <w:pPr>
        <w:pStyle w:val="ListBullet"/>
        <w:widowControl/>
        <w:spacing w:after="60"/>
      </w:pPr>
      <w:r>
        <w:rPr>
          <w:rFonts w:ascii="Aptos" w:hAnsi="Aptos"/>
        </w:rPr>
        <w:t>Why does working capital consume or release cash in your forecast?</w:t>
      </w:r>
    </w:p>
    <w:p>
      <w:pPr>
        <w:pStyle w:val="ListBullet"/>
        <w:widowControl/>
        <w:spacing w:after="60"/>
      </w:pPr>
      <w:r>
        <w:rPr>
          <w:rFonts w:ascii="Aptos" w:hAnsi="Aptos"/>
        </w:rPr>
        <w:t>Which item in the EV-to-equity bridge is most judgmental?</w:t>
      </w:r>
    </w:p>
    <w:p>
      <w:pPr>
        <w:pStyle w:val="ListBullet"/>
        <w:widowControl/>
        <w:spacing w:after="60"/>
      </w:pPr>
      <w:r>
        <w:rPr>
          <w:rFonts w:ascii="Aptos" w:hAnsi="Aptos"/>
        </w:rPr>
        <w:t>What missing information would reduce your maximum price?</w:t>
      </w:r>
    </w:p>
    <w:p>
      <w:pPr>
        <w:pStyle w:val="ListBullet"/>
        <w:widowControl/>
        <w:spacing w:after="60"/>
      </w:pPr>
      <w:r>
        <w:rPr>
          <w:rFonts w:ascii="Aptos" w:hAnsi="Aptos"/>
        </w:rPr>
        <w:t>Which single assumption has the greatest effect on value, and is it controllable by the buyer?</w:t>
      </w:r>
    </w:p>
    <w:p>
      <w:pPr>
        <w:pStyle w:val="ListBullet"/>
        <w:widowControl/>
        <w:spacing w:after="60"/>
      </w:pPr>
      <w:r>
        <w:rPr>
          <w:rFonts w:ascii="Aptos" w:hAnsi="Aptos"/>
        </w:rPr>
        <w:t>What would make you abandon the base case or the transaction?</w:t>
      </w:r>
    </w:p>
    <w:p>
      <w:pPr>
        <w:pStyle w:val="Heading1"/>
        <w:keepNext/>
        <w:widowControl/>
      </w:pPr>
      <w:r>
        <w:rPr>
          <w:rFonts w:ascii="Aptos" w:hAnsi="Aptos"/>
        </w:rPr>
        <w:t>Reading Guide and References</w:t>
      </w:r>
    </w:p>
    <w:p>
      <w:pPr>
        <w:pStyle w:val="Heading2"/>
        <w:keepNext/>
        <w:widowControl/>
      </w:pPr>
      <w:r>
        <w:rPr>
          <w:rFonts w:ascii="Aptos" w:hAnsi="Aptos"/>
        </w:rPr>
        <w:t>Required Before the Team Session</w:t>
      </w:r>
    </w:p>
    <w:p>
      <w:pPr>
        <w:pStyle w:val="ListBullet"/>
        <w:widowControl/>
        <w:spacing w:after="60"/>
      </w:pPr>
      <w:r>
        <w:rPr>
          <w:rFonts w:ascii="Aptos" w:hAnsi="Aptos"/>
        </w:rPr>
        <w:t>Wangerin: read the abstract and focus on the link between diligence effort, post-acquisition profitability, goodwill impairment, and fair-value quality.</w:t>
      </w:r>
    </w:p>
    <w:p>
      <w:pPr>
        <w:pStyle w:val="ListBullet"/>
        <w:widowControl/>
        <w:spacing w:after="60"/>
      </w:pPr>
      <w:r>
        <w:rPr>
          <w:rFonts w:ascii="Aptos" w:hAnsi="Aptos"/>
        </w:rPr>
        <w:t>McNichols and Stubben: read the abstract, research question, measures of accounting quality, reported acquisition-return results, and limitations of applying a historical sample to a specific case.</w:t>
      </w:r>
    </w:p>
    <w:p>
      <w:pPr>
        <w:pStyle w:val="ListBullet"/>
        <w:widowControl/>
        <w:spacing w:after="60"/>
      </w:pPr>
      <w:r>
        <w:rPr>
          <w:rFonts w:ascii="Aptos" w:hAnsi="Aptos"/>
        </w:rPr>
        <w:t>OpenTuition: revise financial-statement interpretation, working-capital ratios, relevant cash flows, and the distinction between FCFF and FCFE.</w:t>
      </w:r>
    </w:p>
    <w:p>
      <w:pPr>
        <w:widowControl/>
        <w:spacing w:after="120"/>
        <w:ind w:hanging="288" w:left="288"/>
      </w:pPr>
      <w:r>
        <w:rPr>
          <w:rFonts w:ascii="Aptos" w:hAnsi="Aptos"/>
        </w:rPr>
        <w:t xml:space="preserve">[1] Wangerin, D. 2019. M&amp;A Due Diligence, Post-Acquisition Performance, and Financial Reporting for Business Combinations. Contemporary Accounting Research 36(4), 2344–2378. </w:t>
      </w:r>
      <w:hyperlink r:id="rId11">
        <w:r>
          <w:rPr>
            <w:color w:val="17365D"/>
            <w:u w:val="single"/>
          </w:rPr>
          <w:t>Publisher and DOI record</w:t>
        </w:r>
      </w:hyperlink>
    </w:p>
    <w:p>
      <w:pPr>
        <w:widowControl/>
        <w:spacing w:after="120"/>
        <w:ind w:hanging="288" w:left="288"/>
      </w:pPr>
      <w:r>
        <w:rPr>
          <w:rFonts w:ascii="Aptos" w:hAnsi="Aptos"/>
        </w:rPr>
        <w:t xml:space="preserve">[2] McNichols, M. F. and Stubben, S. R. 2015. The Effect of Target-Firm Accounting Quality on Valuation in Acquisitions. Review of Accounting Studies 20(1), 110–140. </w:t>
      </w:r>
      <w:hyperlink r:id="rId12">
        <w:r>
          <w:rPr>
            <w:color w:val="17365D"/>
            <w:u w:val="single"/>
          </w:rPr>
          <w:t>DOI record</w:t>
        </w:r>
      </w:hyperlink>
    </w:p>
    <w:p>
      <w:pPr>
        <w:widowControl/>
        <w:spacing w:after="120"/>
        <w:ind w:hanging="288" w:left="288"/>
      </w:pPr>
      <w:r>
        <w:rPr>
          <w:rFonts w:ascii="Aptos" w:hAnsi="Aptos"/>
        </w:rPr>
        <w:t xml:space="preserve">[3] OpenTuition. Interpretation of Financial Statements. ACCA Financial Accounting notes. </w:t>
      </w:r>
      <w:hyperlink r:id="rId13">
        <w:r>
          <w:rPr>
            <w:color w:val="17365D"/>
            <w:u w:val="single"/>
          </w:rPr>
          <w:t>OpenTuition page</w:t>
        </w:r>
      </w:hyperlink>
    </w:p>
    <w:p>
      <w:pPr>
        <w:widowControl/>
        <w:spacing w:after="120"/>
        <w:ind w:hanging="288" w:left="288"/>
      </w:pPr>
      <w:r>
        <w:rPr>
          <w:rFonts w:ascii="Aptos" w:hAnsi="Aptos"/>
        </w:rPr>
        <w:t xml:space="preserve">[4] OpenTuition. Management of Working Capital 1. ACCA Financial Management notes. </w:t>
      </w:r>
      <w:hyperlink r:id="rId14">
        <w:r>
          <w:rPr>
            <w:color w:val="17365D"/>
            <w:u w:val="single"/>
          </w:rPr>
          <w:t>OpenTuition page</w:t>
        </w:r>
      </w:hyperlink>
    </w:p>
    <w:p>
      <w:pPr>
        <w:widowControl/>
        <w:spacing w:after="120"/>
        <w:ind w:hanging="288" w:left="288"/>
      </w:pPr>
      <w:r>
        <w:rPr>
          <w:rFonts w:ascii="Aptos" w:hAnsi="Aptos"/>
        </w:rPr>
        <w:t xml:space="preserve">[5] OpenTuition. Management Commentary and Interpretation of Financial Statements. ACCA Strategic Business Reporting notes. </w:t>
      </w:r>
      <w:hyperlink r:id="rId15">
        <w:r>
          <w:rPr>
            <w:color w:val="17365D"/>
            <w:u w:val="single"/>
          </w:rPr>
          <w:t>OpenTuition page</w:t>
        </w:r>
      </w:hyperlink>
    </w:p>
    <w:p>
      <w:pPr>
        <w:widowControl/>
        <w:spacing w:after="120"/>
        <w:ind w:hanging="288" w:left="288"/>
      </w:pPr>
      <w:r>
        <w:rPr>
          <w:rFonts w:ascii="Aptos" w:hAnsi="Aptos"/>
        </w:rPr>
        <w:t xml:space="preserve">[6] OpenTuition. Relevant Cash Flows for DCF. ACCA Financial Management notes. </w:t>
      </w:r>
      <w:hyperlink r:id="rId16">
        <w:r>
          <w:rPr>
            <w:color w:val="17365D"/>
            <w:u w:val="single"/>
          </w:rPr>
          <w:t>OpenTuition page</w:t>
        </w:r>
      </w:hyperlink>
    </w:p>
    <w:p>
      <w:pPr>
        <w:widowControl/>
        <w:spacing w:after="120"/>
        <w:ind w:hanging="288" w:left="288"/>
      </w:pPr>
      <w:r>
        <w:rPr>
          <w:rFonts w:ascii="Aptos" w:hAnsi="Aptos"/>
        </w:rPr>
        <w:t xml:space="preserve">[7] OpenTuition. ACCA Advanced Financial Management Lectures, Chapters 15 and 16 on mergers, acquisitions, and valuation. </w:t>
      </w:r>
      <w:hyperlink r:id="rId17">
        <w:r>
          <w:rPr>
            <w:color w:val="17365D"/>
            <w:u w:val="single"/>
          </w:rPr>
          <w:t>OpenTuition lecture index</w:t>
        </w:r>
      </w:hyperlink>
    </w:p>
    <w:p>
      <w:pPr>
        <w:widowControl/>
        <w:spacing w:after="120"/>
        <w:ind w:hanging="288" w:left="288"/>
      </w:pPr>
      <w:r>
        <w:rPr>
          <w:rFonts w:ascii="Aptos" w:hAnsi="Aptos"/>
        </w:rPr>
        <w:t xml:space="preserve">[8] OpenTuition. ACCA Advanced Financial Management Notes for September 2026 to June 2027 exams. </w:t>
      </w:r>
      <w:hyperlink r:id="rId18">
        <w:r>
          <w:rPr>
            <w:color w:val="17365D"/>
            <w:u w:val="single"/>
          </w:rPr>
          <w:t>OpenTuition notes page</w:t>
        </w:r>
      </w:hyperlink>
    </w:p>
    <w:p>
      <w:pPr>
        <w:pStyle w:val="SmallNote"/>
        <w:keepLines/>
        <w:widowControl/>
      </w:pPr>
      <w:r>
        <w:rPr>
          <w:rFonts w:ascii="Aptos" w:hAnsi="Aptos"/>
        </w:rPr>
        <w:t>Use of sources: the module paraphrases and applies the sources; it does not reproduce proprietary notes or paper text. Where only abstracts or publisher summaries were openly accessible, the module limits claims to those verified summaries. Teams should use university access for the full papers and verify any additional detail before submission.</w:t>
      </w:r>
    </w:p>
    <w:p>
      <w:pPr>
        <w:widowControl/>
      </w:pPr>
      <w:r>
        <w:rPr>
          <w:rFonts w:ascii="Aptos" w:hAnsi="Aptos"/>
        </w:rPr>
        <w:br w:type="page"/>
      </w:r>
    </w:p>
    <w:p>
      <w:pPr>
        <w:pStyle w:val="Heading2"/>
        <w:keepNext/>
        <w:widowControl/>
      </w:pPr>
      <w:r>
        <w:rPr>
          <w:rFonts w:ascii="Aptos" w:hAnsi="Aptos"/>
        </w:rPr>
        <w:t>Final Week 2 Submission Checklist</w:t>
      </w:r>
    </w:p>
    <w:p>
      <w:pPr>
        <w:pStyle w:val="ListBullet"/>
        <w:widowControl/>
        <w:spacing w:after="60"/>
      </w:pPr>
      <w:r>
        <w:rPr>
          <w:rFonts w:ascii="Aptos" w:hAnsi="Aptos"/>
        </w:rPr>
        <w:t>Three historical years tie to source financial statements.</w:t>
      </w:r>
    </w:p>
    <w:p>
      <w:pPr>
        <w:pStyle w:val="ListBullet"/>
        <w:widowControl/>
        <w:spacing w:after="60"/>
      </w:pPr>
      <w:r>
        <w:rPr>
          <w:rFonts w:ascii="Aptos" w:hAnsi="Aptos"/>
        </w:rPr>
        <w:t>Reported and adjusted performance are shown separately.</w:t>
      </w:r>
    </w:p>
    <w:p>
      <w:pPr>
        <w:pStyle w:val="ListBullet"/>
        <w:widowControl/>
        <w:spacing w:after="60"/>
      </w:pPr>
      <w:r>
        <w:rPr>
          <w:rFonts w:ascii="Aptos" w:hAnsi="Aptos"/>
        </w:rPr>
        <w:t>The source and assumption register is complete and owned.</w:t>
      </w:r>
    </w:p>
    <w:p>
      <w:pPr>
        <w:pStyle w:val="ListBullet"/>
        <w:widowControl/>
        <w:spacing w:after="60"/>
      </w:pPr>
      <w:r>
        <w:rPr>
          <w:rFonts w:ascii="Aptos" w:hAnsi="Aptos"/>
        </w:rPr>
        <w:t>The five-year forecast uses operating drivers and coherent scenarios.</w:t>
      </w:r>
    </w:p>
    <w:p>
      <w:pPr>
        <w:pStyle w:val="ListBullet"/>
        <w:widowControl/>
        <w:spacing w:after="60"/>
      </w:pPr>
      <w:r>
        <w:rPr>
          <w:rFonts w:ascii="Aptos" w:hAnsi="Aptos"/>
        </w:rPr>
        <w:t>Working capital, capex, depreciation, tax, debt, and cash are linked correctly.</w:t>
      </w:r>
    </w:p>
    <w:p>
      <w:pPr>
        <w:pStyle w:val="ListBullet"/>
        <w:widowControl/>
        <w:spacing w:after="60"/>
      </w:pPr>
      <w:r>
        <w:rPr>
          <w:rFonts w:ascii="Aptos" w:hAnsi="Aptos"/>
        </w:rPr>
        <w:t>The enterprise-to-equity bridge is documented and internally consistent.</w:t>
      </w:r>
    </w:p>
    <w:p>
      <w:pPr>
        <w:pStyle w:val="ListBullet"/>
        <w:widowControl/>
        <w:spacing w:after="60"/>
      </w:pPr>
      <w:r>
        <w:rPr>
          <w:rFonts w:ascii="Aptos" w:hAnsi="Aptos"/>
        </w:rPr>
        <w:t>All core checks pass; no unexplained circularity or model errors remain.</w:t>
      </w:r>
    </w:p>
    <w:p>
      <w:pPr>
        <w:pStyle w:val="ListBullet"/>
        <w:widowControl/>
        <w:spacing w:after="60"/>
      </w:pPr>
      <w:r>
        <w:rPr>
          <w:rFonts w:ascii="Aptos" w:hAnsi="Aptos"/>
        </w:rPr>
        <w:t>A cold reviewer can explain the base case, key uncertainty, and price consequence.</w:t>
      </w:r>
    </w:p>
    <w:sectPr w:rsidR="00FC693F" w:rsidRPr="0006063C" w:rsidSect="00034616">
      <w:headerReference w:type="default" r:id="rId9"/>
      <w:footerReference w:type="default" r:id="rId10"/>
      <w:pgSz w:w="12240" w:h="15840"/>
      <w:pgMar w:top="1037" w:right="1094" w:bottom="1512" w:left="1094"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050"/>
        <w:sz w:val="17"/>
      </w:rPr>
      <w:t>VFCC 2026   Week 2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11/1911-3846.12520" TargetMode="External"/><Relationship Id="rId12" Type="http://schemas.openxmlformats.org/officeDocument/2006/relationships/hyperlink" Target="https://doi.org/10.1007/s11142-014-9283-x" TargetMode="External"/><Relationship Id="rId13" Type="http://schemas.openxmlformats.org/officeDocument/2006/relationships/hyperlink" Target="https://opentuition.com/acca/fa/notes/fa-26-interpretation-of-financial-statements/" TargetMode="External"/><Relationship Id="rId14" Type="http://schemas.openxmlformats.org/officeDocument/2006/relationships/hyperlink" Target="https://opentuition.com/acca/fm/notes/fm-3-management-of-working-capital-1/" TargetMode="External"/><Relationship Id="rId15" Type="http://schemas.openxmlformats.org/officeDocument/2006/relationships/hyperlink" Target="https://opentuition.com/acca/sbr/notes/sbr-28-management-commentary-and-interpretation-of-financial-statements/" TargetMode="External"/><Relationship Id="rId16" Type="http://schemas.openxmlformats.org/officeDocument/2006/relationships/hyperlink" Target="https://opentuition.com/acca/fm/notes/fm-8-relevant-cash-flows-for-dcf/" TargetMode="External"/><Relationship Id="rId17" Type="http://schemas.openxmlformats.org/officeDocument/2006/relationships/hyperlink" Target="https://opentuition.com/acca/afm/acca-advanced-financial-management-afm-lectures/" TargetMode="External"/><Relationship Id="rId18" Type="http://schemas.openxmlformats.org/officeDocument/2006/relationships/hyperlink" Target="https://opentuition.com/acca/afm/acca-advanced-financial-management-afm-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VFCC 2026 Week 2 Historical Analysis and Forecast Architecture</dc:title>
  <dc:subject>Week 2 preparation content for the Vietnam Finance Case Competition 2026</dc:subject>
  <dc:creator>VFCC preparation team</dc:creator>
  <cp:keywords>VFCC, M&amp;A, historical analysis, forecast, accounting quality, due diligence</cp:keywords>
  <dc:description>generated by python-docx</dc:description>
  <cp:lastModifiedBy/>
  <cp:revision>1</cp:revision>
  <dcterms:created xsi:type="dcterms:W3CDTF">2013-12-23T23:15:00Z</dcterms:created>
  <dcterms:modified xsi:type="dcterms:W3CDTF">2013-12-23T23:15:00Z</dcterms:modified>
  <cp:category/>
</cp:coreProperties>
</file>