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2E74B5"/>
          <w:sz w:val="48"/>
        </w:rPr>
        <w:t>SCREEN FLOW &amp; TÀI LIỆU THIẾT KẾ CƠ SỞ DỮ LIỆU</w:t>
      </w:r>
    </w:p>
    <w:p>
      <w:pPr>
        <w:spacing w:before="360"/>
        <w:jc w:val="center"/>
      </w:pPr>
      <w:r>
        <w:rPr>
          <w:b/>
          <w:sz w:val="30"/>
        </w:rPr>
        <w:t>HỆ THỐNG QUẢN LÝ CHI TIÊU CÁ NHÂN CÓ TÍCH HỢP AI</w:t>
      </w:r>
    </w:p>
    <w:p>
      <w:pPr>
        <w:spacing w:before="600"/>
        <w:jc w:val="center"/>
      </w:pPr>
      <w:r>
        <w:rPr>
          <w:b/>
        </w:rPr>
        <w:t>Nhóm 21 - Thành viên nhóm 2</w:t>
        <w:br/>
      </w:r>
      <w:r>
        <w:t>1. Đào Minh Tâm (Trưởng nhóm)</w:t>
        <w:br/>
        <w:t>2. Phạm Đức Nam</w:t>
      </w:r>
    </w:p>
    <w:p>
      <w:pPr>
        <w:spacing w:before="500"/>
        <w:jc w:val="center"/>
      </w:pPr>
      <w:r>
        <w:t>Thời gian thực hiện: 27/07/2026 – 27/09/2026 (9 tuần)</w:t>
      </w:r>
    </w:p>
    <w:p>
      <w:r>
        <w:br w:type="page"/>
      </w:r>
    </w:p>
    <w:p>
      <w:pPr>
        <w:pStyle w:val="Heading1"/>
        <w:keepNext/>
      </w:pPr>
      <w:r>
        <w:t>1. Screen Flow: Phân luồng màn hình của ứng dụng</w:t>
      </w:r>
    </w:p>
    <w:p>
      <w:pPr>
        <w:pStyle w:val="Heading2"/>
        <w:keepNext/>
      </w:pPr>
      <w:r>
        <w:t>1.1. Phạm vi và nguyên tắc điều hướng</w:t>
      </w:r>
    </w:p>
    <w:p>
      <w:pPr>
        <w:spacing w:after="100" w:line="259" w:lineRule="auto"/>
      </w:pPr>
      <w:r>
        <w:t>Ứng dụng có hai vùng: vùng công khai cho xác thực và vùng được bảo vệ trong AppShell. Web responsive/PWA và Windows/Tauri sử dụng cùng tập route React và cùng backend FastAPI.</w:t>
      </w:r>
    </w:p>
    <w:p>
      <w:pPr>
        <w:spacing w:after="40"/>
        <w:ind w:left="317" w:hanging="259"/>
      </w:pPr>
      <w:r>
        <w:t xml:space="preserve">• </w:t>
      </w:r>
      <w:r>
        <w:t>PublicOnlyRoute chuyển người đã đăng nhập khỏi Login/Register/Forgot Password về Dashboard.</w:t>
      </w:r>
    </w:p>
    <w:p>
      <w:pPr>
        <w:spacing w:after="40"/>
        <w:ind w:left="317" w:hanging="259"/>
      </w:pPr>
      <w:r>
        <w:t xml:space="preserve">• </w:t>
      </w:r>
      <w:r>
        <w:t>ProtectedRoute chuyển người chưa xác thực về Login.</w:t>
      </w:r>
    </w:p>
    <w:p>
      <w:pPr>
        <w:spacing w:after="40"/>
        <w:ind w:left="317" w:hanging="259"/>
      </w:pPr>
      <w:r>
        <w:t xml:space="preserve">• </w:t>
      </w:r>
      <w:r>
        <w:t>Route không tồn tại được điều hướng về Dashboard.</w:t>
      </w:r>
    </w:p>
    <w:p>
      <w:pPr>
        <w:spacing w:after="40"/>
        <w:ind w:left="317" w:hanging="259"/>
      </w:pPr>
      <w:r>
        <w:t xml:space="preserve">• </w:t>
      </w:r>
      <w:r>
        <w:t>Profile/Avatar mở bằng SidePanel và không làm mất màn hình nghiệp vụ hiện tại.</w:t>
      </w:r>
    </w:p>
    <w:p>
      <w:pPr>
        <w:spacing w:after="40"/>
        <w:ind w:left="317" w:hanging="259"/>
      </w:pPr>
      <w:r>
        <w:t xml:space="preserve">• </w:t>
      </w:r>
      <w:r>
        <w:t>Reports và Assistant cung cấp đường dẫn về Transactions để kiểm chứng dữ liệu.</w:t>
      </w:r>
    </w:p>
    <w:p>
      <w:pPr>
        <w:pStyle w:val="Heading2"/>
        <w:keepNext/>
      </w:pPr>
      <w:r>
        <w:t>1.2. Luồng đăng nhập trực quan</w:t>
      </w:r>
    </w:p>
    <w:p>
      <w:pPr>
        <w:spacing w:after="100" w:line="259" w:lineRule="auto"/>
      </w:pPr>
      <w:r>
        <w:t>Sơ đồ dưới đây mô tả tuần tự thao tác đăng nhập, quá trình xác thực và hai nhánh kết quả thành công/thất bại theo giao diện hiện hành của Sổ Chi Tiêu.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04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Flow_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4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1. Luồng đăng nhập trực quan của ứng dụng</w:t>
      </w:r>
    </w:p>
    <w:p>
      <w:r>
        <w:br w:type="page"/>
      </w:r>
    </w:p>
    <w:p>
      <w:pPr>
        <w:pStyle w:val="Heading2"/>
        <w:keepNext/>
      </w:pPr>
      <w:r>
        <w:t>1.3. Sơ đồ Screen Flow tổng thể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548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Flow_AsBui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48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2. Screen Flow as-built của ứng dụng</w:t>
      </w:r>
    </w:p>
    <w:p>
      <w:r>
        <w:br w:type="page"/>
      </w:r>
    </w:p>
    <w:p>
      <w:pPr>
        <w:pStyle w:val="Heading2"/>
        <w:keepNext/>
      </w:pPr>
      <w:r>
        <w:t>1.4. Danh mục màn hình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Màn hình/Thành phần</w:t>
            </w:r>
          </w:p>
        </w:tc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Route</w:t>
            </w:r>
          </w:p>
        </w:tc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Quyền truy cập</w:t>
            </w:r>
          </w:p>
        </w:tc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Luồng chính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Đăng nhập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/login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Công khai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Đăng nhập; sang Đăng ký/Quên mật khẩu.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Đăng ký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/register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Công khai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Đăng ký thành công → Đăng nhập.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Quên mật khẩu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/forgot-password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Công khai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Nhập email; nhận liên kết.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Đặt lại mật khẩu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/reset-password?token=...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Công khai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Đổi mật khẩu → Đăng nhập.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Dashboard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/dashboard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Màn hình mặc định; tổng quan theo kỳ.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Giao dịch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/transactions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CRUD, lọc và nhận deep-link từ Reports/Assistant.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Danh mục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/categories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CRUD danh mục thu/chi.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Ngân sách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/budgets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CRUD ngân sách theo tháng/năm.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Mục tiêu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/goals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Goal/item, nạp/rút, hoàn thành.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Báo cáo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/reports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So sánh kỳ chọn với tháng trước.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Trợ lý AI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/assistant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Evidence, hỏi đáp Gemini, lịch sử.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Hồ sơ/Avatar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SidePanel trong AppShell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xác thực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Cập nhật hồ sơ, tải/xóa avatar.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Cơ sở dữ liệu</w:t>
      </w:r>
    </w:p>
    <w:p>
      <w:pPr>
        <w:pStyle w:val="Heading2"/>
        <w:keepNext/>
      </w:pPr>
      <w:r>
        <w:t>2.1. Cơ sở dữ liệu quan hệ</w:t>
      </w:r>
    </w:p>
    <w:p>
      <w:pPr>
        <w:spacing w:after="100" w:line="259" w:lineRule="auto"/>
      </w:pPr>
      <w:r>
        <w:t>Hệ thống sử dụng SQLAlchemy ORM. Mặc định development dùng SQLite; PostgreSQL được hỗ trợ qua DATABASE_URL. Schema triển khai được quản lý bằng Alembic revision 20260901_0001 và gồm 9 bảng.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341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AsBui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3. ERD schema chốt triển khai — không có bảng AIReport</w:t>
      </w:r>
    </w:p>
    <w:p>
      <w:pPr>
        <w:pStyle w:val="Heading3"/>
        <w:keepNext/>
      </w:pPr>
      <w:r>
        <w:t>2.1.1. Danh sách bảng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Bảng</w:t>
            </w:r>
          </w:p>
        </w:tc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Khóa chính</w:t>
            </w:r>
          </w:p>
        </w:tc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Khóa ngoại</w:t>
            </w:r>
          </w:p>
        </w:tc>
        <w:tc>
          <w:tcPr>
            <w:tcW w:type="dxa" w:w="2592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Vai trò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Tài khoản, hồ sơ, avatar, reset password.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categories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user_id → users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Danh mục income/expense.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transactions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user_id → users; category_id → categories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Khoản thu/chi.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budgets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user_id → users; category_id → categories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Hạn mức theo danh mục/kỳ.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saving_goals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user_id → users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Mục tiêu và kết quả hoàn thành.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goal_items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goal_id → saving_goals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Hạng mục con.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goal_transactions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goal_id → saving_goals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Nhật ký deposit/withdraw.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ai_conversations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user_id → users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Hội thoại AI.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ai_messages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conversation_id → ai_conversations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Messages và evidence snapshot.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2.1.2. Quan hệ chính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Quan hệ</w:t>
            </w:r>
          </w:p>
        </w:tc>
        <w:tc>
          <w:tcPr>
            <w:tcW w:type="dxa" w:w="3456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Bội số</w:t>
            </w:r>
          </w:p>
        </w:tc>
        <w:tc>
          <w:tcPr>
            <w:tcW w:type="dxa" w:w="3456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Ý nghĩa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users – categories/transactions/budgets/saving_goals/ai_conversations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 : 0..*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Một user sở hữu nhiều dữ liệu; mọi truy vấn phải scoped.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categories – transactions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 : 0..*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Một giao dịch thuộc đúng một danh mục.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categories – budgets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 : 0..*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Một ngân sách áp dụng cho một danh mục.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saving_goals – goal_items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 : 0..*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Các hạng mục thuộc mục tiêu.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saving_goals – goal_transactions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 : 0..*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Nhật ký tiền của mục tiêu.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ai_conversations – ai_messages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 : 0..*</w:t>
            </w:r>
          </w:p>
        </w:tc>
        <w:tc>
          <w:tcPr>
            <w:tcW w:type="dxa" w:w="345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Các message thuộc một hội thoại.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2.2. Các ràng buộc toàn vẹn trong CSDL</w:t>
      </w:r>
    </w:p>
    <w:p>
      <w:pPr>
        <w:pStyle w:val="Heading3"/>
        <w:keepNext/>
      </w:pPr>
      <w:r>
        <w:t>2.2.1. Ràng buộc ở database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Nhóm</w:t>
            </w:r>
          </w:p>
        </w:tc>
        <w:tc>
          <w:tcPr>
            <w:tcW w:type="dxa" w:w="5184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Ràng buộc hiện hành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Tất cả 9 bảng dùng id kiểu String/UUID.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Unique/index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users.username và users.email unique + index; AI conversation/message có index FK.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Foreign key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10 quan hệ FK như thể hiện trên ERD; không khai báo ondelete/cascade.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Not null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Áp dụng cho trường nhận dạng, FK và dữ liệu nghiệp vụ bắt buộc.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Kiểu tiền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Numeric(14,2), không dùng Float.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created_at/updated_at dùng DateTime timezone khi phù hợp.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2.2.2. Ràng buộc ở Schema/Router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Đối tượng</w:t>
            </w:r>
          </w:p>
        </w:tc>
        <w:tc>
          <w:tcPr>
            <w:tcW w:type="dxa" w:w="5184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Ràng buộc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Username 3–50; password ≥6; email hợp lệ/duy nhất; token reset hạn 15 phút.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Category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type ∈ {income, expense}; icon trong danh sách cho phép; name+type không trùng theo user.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Transaction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amount&gt;0; ngày không tương lai; category thuộc user; type suy ra từ category.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Budget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month 1–12; limit&gt;0; chỉ category expense; không trùng category/month/year theo user.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SavingGoal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Tên không rỗng/≤100; target&gt;0; hoàn thành khi current≥target.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GoalTransaction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deposit không vượt available balance; withdraw không vượt current; bảo toàn lịch sử.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AIConversation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Mọi thao tác kiểm tra user_id; xóa messages trước conversation.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AIMessage</w:t>
            </w:r>
          </w:p>
        </w:tc>
        <w:tc>
          <w:tcPr>
            <w:tcW w:type="dxa" w:w="5184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role user/assistant; chỉ lưu sau khi Gemini thành công; lỗi thì rollback.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2.2.3. Dữ liệu tính toán không lưu cột</w:t>
      </w:r>
    </w:p>
    <w:p>
      <w:pPr>
        <w:spacing w:after="40"/>
        <w:ind w:left="317" w:hanging="259"/>
      </w:pPr>
      <w:r>
        <w:t xml:space="preserve">• </w:t>
      </w:r>
      <w:r>
        <w:t>Budget.spent và is_over được tính từ Transaction theo kỳ.</w:t>
      </w:r>
    </w:p>
    <w:p>
      <w:pPr>
        <w:spacing w:after="40"/>
        <w:ind w:left="317" w:hanging="259"/>
      </w:pPr>
      <w:r>
        <w:t xml:space="preserve">• </w:t>
      </w:r>
      <w:r>
        <w:t>SavingGoal.current_amount = tổng deposit − tổng withdraw.</w:t>
      </w:r>
    </w:p>
    <w:p>
      <w:pPr>
        <w:spacing w:after="40"/>
        <w:ind w:left="317" w:hanging="259"/>
      </w:pPr>
      <w:r>
        <w:t xml:space="preserve">• </w:t>
      </w:r>
      <w:r>
        <w:t>Dashboard và Reports được tổng hợp trực tiếp từ dữ liệu giao dịch.</w:t>
      </w:r>
    </w:p>
    <w:p>
      <w:pPr>
        <w:spacing w:after="40"/>
        <w:ind w:left="317" w:hanging="259"/>
      </w:pPr>
      <w:r>
        <w:t xml:space="preserve">• </w:t>
      </w:r>
      <w:r>
        <w:t>Assistant evidence được tạo từ aggregate an toàn; snapshot chỉ lưu ở AIMessage.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D6B656"/>
          <w:left w:val="single" w:sz="5" w:color="D6B656"/>
          <w:bottom w:val="single" w:sz="5" w:color="D6B656"/>
          <w:right w:val="single" w:sz="5" w:color="D6B656"/>
          <w:insideH w:val="single" w:sz="5" w:color="D6B656"/>
          <w:insideV w:val="single" w:sz="5" w:color="D6B656"/>
        </w:tblBorders>
      </w:tblPr>
      <w:tblGrid>
        <w:gridCol w:w="10368"/>
      </w:tblGrid>
      <w:tr>
        <w:tc>
          <w:tcPr>
            <w:tcW w:type="dxa" w:w="10368"/>
            <w:shd w:fill="FFF0C9"/>
          </w:tcPr>
          <w:p>
            <w:pPr>
              <w:spacing w:after="0"/>
            </w:pPr>
            <w:r/>
            <w:r>
              <w:rPr>
                <w:b/>
                <w:sz w:val="19"/>
              </w:rPr>
              <w:t xml:space="preserve">Điểm cần lưu ý khi chốt production: </w:t>
            </w:r>
            <w:r>
              <w:rPr>
                <w:sz w:val="19"/>
              </w:rPr>
              <w:t>Các ràng buộc tổ hợp Category(name,type,user) và Budget(category,month,year,user) hiện được kiểm tra ở Router, chưa có UniqueConstraint tại database. Foreign key cũng chưa khai báo cascade; vòng đời con được điều phối trong nghiệp vụ.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Nhóm 21  |  Sổ Chi Tiêu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SCREEN FLOW &amp; DATABASE — SỔ CHI TIÊU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Flow &amp; Database Design — Sổ Chi Tiêu</dc:title>
  <dc:subject>Screen flow và ERD as-built 02/09/2026</dc:subject>
  <dc:creator>Nhóm 21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