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chitecture"/>
      <w:r>
        <w:t xml:space="preserve">Architecture</w:t>
      </w:r>
      <w:bookmarkEnd w:id="20"/>
    </w:p>
    <w:p>
      <w:pPr>
        <w:pStyle w:val="FirstParagraph"/>
      </w:pPr>
      <w:r>
        <w:t xml:space="preserve">DAOS is an open-source software-defined scale-out object store that provides</w:t>
      </w:r>
      <w:r>
        <w:t xml:space="preserve"> </w:t>
      </w:r>
      <w:r>
        <w:t xml:space="preserve">high bandwidth and high IOPS storage containers to applications and enables</w:t>
      </w:r>
      <w:r>
        <w:t xml:space="preserve"> </w:t>
      </w:r>
      <w:r>
        <w:t xml:space="preserve">next-generation data-centric workflows combining simulation, data analytics,</w:t>
      </w:r>
      <w:r>
        <w:t xml:space="preserve"> </w:t>
      </w:r>
      <w:r>
        <w:t xml:space="preserve">and machine learning.</w:t>
      </w:r>
    </w:p>
    <w:p>
      <w:pPr>
        <w:pStyle w:val="BodyText"/>
      </w:pPr>
      <w:r>
        <w:t xml:space="preserve">Unlike the traditional storage stacks that were primarily designed for</w:t>
      </w:r>
      <w:r>
        <w:t xml:space="preserve"> </w:t>
      </w:r>
      <w:r>
        <w:t xml:space="preserve">rotating media, DAOS is architected from the ground up to exploit new</w:t>
      </w:r>
      <w:r>
        <w:t xml:space="preserve"> </w:t>
      </w:r>
      <w:r>
        <w:t xml:space="preserve">NVM technologies and is extremely lightweight since it operates</w:t>
      </w:r>
      <w:r>
        <w:t xml:space="preserve"> </w:t>
      </w:r>
      <w:r>
        <w:t xml:space="preserve">End-to-End (E2E) in user space with full OS bypass. DAOS offers a shift</w:t>
      </w:r>
      <w:r>
        <w:t xml:space="preserve"> </w:t>
      </w:r>
      <w:r>
        <w:t xml:space="preserve">away from an I/O model designed for block-based and high-latency storage</w:t>
      </w:r>
      <w:r>
        <w:t xml:space="preserve"> </w:t>
      </w:r>
      <w:r>
        <w:t xml:space="preserve">to one that inherently supports fine-grained data access and unlocks the</w:t>
      </w:r>
      <w:r>
        <w:t xml:space="preserve"> </w:t>
      </w:r>
      <w:r>
        <w:t xml:space="preserve">performance of the next-generation storage technologies.</w:t>
      </w:r>
    </w:p>
    <w:p>
      <w:pPr>
        <w:pStyle w:val="BodyText"/>
      </w:pPr>
      <w:r>
        <w:t xml:space="preserve">Unlike traditional Burst Buffers, DAOS is a high-performant independent</w:t>
      </w:r>
      <w:r>
        <w:t xml:space="preserve"> </w:t>
      </w:r>
      <w:r>
        <w:t xml:space="preserve">and fault-tolerant storage tier that does not rely on a third-party tier</w:t>
      </w:r>
      <w:r>
        <w:t xml:space="preserve"> </w:t>
      </w:r>
      <w:r>
        <w:t xml:space="preserve">to manage metadata and data resilience.</w:t>
      </w:r>
    </w:p>
    <w:p>
      <w:pPr>
        <w:pStyle w:val="Heading2"/>
      </w:pPr>
      <w:bookmarkStart w:id="21" w:name="daos-features"/>
      <w:r>
        <w:t xml:space="preserve">DAOS Features</w:t>
      </w:r>
      <w:bookmarkEnd w:id="21"/>
    </w:p>
    <w:p>
      <w:pPr>
        <w:pStyle w:val="FirstParagraph"/>
      </w:pPr>
      <w:r>
        <w:t xml:space="preserve">DAOS relies on OFI for low-latency communications and stores data on</w:t>
      </w:r>
      <w:r>
        <w:t xml:space="preserve"> </w:t>
      </w:r>
      <w:r>
        <w:t xml:space="preserve">both storage-class memory and NVMe storage. DAOS presents a native</w:t>
      </w:r>
      <w:r>
        <w:t xml:space="preserve"> </w:t>
      </w:r>
      <w:r>
        <w:t xml:space="preserve">key-array-value storage interface that offers a unified storage model</w:t>
      </w:r>
      <w:r>
        <w:t xml:space="preserve"> </w:t>
      </w:r>
      <w:r>
        <w:t xml:space="preserve">over which domain-specific data models are ported, such as HDF5, MPI-IO,</w:t>
      </w:r>
      <w:r>
        <w:t xml:space="preserve"> </w:t>
      </w:r>
      <w:r>
        <w:t xml:space="preserve">and Apache Arrow. A POSIX I/O emulation layer implementing files and</w:t>
      </w:r>
      <w:r>
        <w:t xml:space="preserve"> </w:t>
      </w:r>
      <w:r>
        <w:t xml:space="preserve">directories over the native DAOS API is also available.</w:t>
      </w:r>
    </w:p>
    <w:p>
      <w:pPr>
        <w:pStyle w:val="BodyText"/>
      </w:pPr>
      <w:r>
        <w:t xml:space="preserve">DAOS I/O operations are logged and then inserted into a persistent index</w:t>
      </w:r>
      <w:r>
        <w:t xml:space="preserve"> </w:t>
      </w:r>
      <w:r>
        <w:t xml:space="preserve">maintained in SCM. Each I/O is tagged with a particular timestamp called</w:t>
      </w:r>
      <w:r>
        <w:t xml:space="preserve"> </w:t>
      </w:r>
      <w:r>
        <w:t xml:space="preserve">epoch and is associated with a particular version of the dataset. No</w:t>
      </w:r>
      <w:r>
        <w:t xml:space="preserve"> </w:t>
      </w:r>
      <w:r>
        <w:t xml:space="preserve">read-modify-write operations are performed internally. Write operations</w:t>
      </w:r>
      <w:r>
        <w:t xml:space="preserve"> </w:t>
      </w:r>
      <w:r>
        <w:t xml:space="preserve">are non-destructive and not sensitive to alignment. Upon read request,</w:t>
      </w:r>
      <w:r>
        <w:t xml:space="preserve"> </w:t>
      </w:r>
      <w:r>
        <w:t xml:space="preserve">the DAOS service walks through the persistent index and creates a</w:t>
      </w:r>
      <w:r>
        <w:t xml:space="preserve"> </w:t>
      </w:r>
      <w:r>
        <w:t xml:space="preserve">complex scatter-gather Remote Direct Memory Access (RDMA) descriptor to</w:t>
      </w:r>
      <w:r>
        <w:t xml:space="preserve"> </w:t>
      </w:r>
      <w:r>
        <w:t xml:space="preserve">reconstruct the data at the requested version directly in the buffer</w:t>
      </w:r>
      <w:r>
        <w:t xml:space="preserve"> </w:t>
      </w:r>
      <w:r>
        <w:t xml:space="preserve">provided by the application.</w:t>
      </w:r>
    </w:p>
    <w:p>
      <w:pPr>
        <w:pStyle w:val="BodyText"/>
      </w:pPr>
      <w:r>
        <w:t xml:space="preserve">The SCM storage is memory-mapped directly into the address space of the</w:t>
      </w:r>
      <w:r>
        <w:t xml:space="preserve"> </w:t>
      </w:r>
      <w:r>
        <w:t xml:space="preserve">DAOS service that manages the persistent index via direct load/store.</w:t>
      </w:r>
      <w:r>
        <w:t xml:space="preserve"> </w:t>
      </w:r>
      <w:r>
        <w:t xml:space="preserve">Depending on the I/O characteristics, the DAOS service can decide to</w:t>
      </w:r>
      <w:r>
        <w:t xml:space="preserve"> </w:t>
      </w:r>
      <w:r>
        <w:t xml:space="preserve">store the I/O in either SCM or NVMe storage. As represented in Figure</w:t>
      </w:r>
      <w:r>
        <w:t xml:space="preserve"> </w:t>
      </w:r>
      <w:r>
        <w:t xml:space="preserve">2-1, latency-sensitive I/Os, like application metadata and byte-granular</w:t>
      </w:r>
      <w:r>
        <w:t xml:space="preserve"> </w:t>
      </w:r>
      <w:r>
        <w:t xml:space="preserve">data, will typically be stored in the former, whereas checkpoints and</w:t>
      </w:r>
      <w:r>
        <w:t xml:space="preserve"> </w:t>
      </w:r>
      <w:r>
        <w:t xml:space="preserve">bulk data will be stored in the latter. This approach allows DAOS to</w:t>
      </w:r>
      <w:r>
        <w:t xml:space="preserve"> </w:t>
      </w:r>
      <w:r>
        <w:t xml:space="preserve">deliver the raw NVMe bandwidth for bulk data by streaming the data to</w:t>
      </w:r>
      <w:r>
        <w:t xml:space="preserve"> </w:t>
      </w:r>
      <w:r>
        <w:t xml:space="preserve">NVMe storage and maintaining internal metadata index in SCM. The</w:t>
      </w:r>
      <w:r>
        <w:t xml:space="preserve"> </w:t>
      </w:r>
      <w:r>
        <w:t xml:space="preserve">Persistent Memory Development Kit (PMDK)[^1] allows managing</w:t>
      </w:r>
      <w:r>
        <w:t xml:space="preserve"> </w:t>
      </w:r>
      <w:r>
        <w:t xml:space="preserve">transactional access to SCM and the Storage Performance Development Kit</w:t>
      </w:r>
      <w:r>
        <w:t xml:space="preserve"> </w:t>
      </w:r>
      <w:r>
        <w:t xml:space="preserve">(SPDK)[^2] enables user-space I/O to NVMe devices.</w:t>
      </w:r>
    </w:p>
    <w:p>
      <w:pPr>
        <w:pStyle w:val="BodyText"/>
      </w:pPr>
      <w:r>
        <w:drawing>
          <wp:inline>
            <wp:extent cx="5334000" cy="23255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dmin/media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2-1. DAOS Storage</w:t>
      </w:r>
    </w:p>
    <w:p>
      <w:pPr>
        <w:pStyle w:val="BodyText"/>
      </w:pPr>
      <w:r>
        <w:t xml:space="preserve">DAOS aims at delivering:</w:t>
      </w:r>
    </w:p>
    <w:p>
      <w:pPr>
        <w:numPr>
          <w:ilvl w:val="0"/>
          <w:numId w:val="1001"/>
        </w:numPr>
      </w:pPr>
      <w:r>
        <w:t xml:space="preserve">High throughput and IOPS at arbitrary alignment and size</w:t>
      </w:r>
    </w:p>
    <w:p>
      <w:pPr>
        <w:numPr>
          <w:ilvl w:val="0"/>
          <w:numId w:val="1001"/>
        </w:numPr>
      </w:pPr>
      <w:r>
        <w:t xml:space="preserve">Fine-grained I/O operations with true zero-copy I/O to SCM</w:t>
      </w:r>
    </w:p>
    <w:p>
      <w:pPr>
        <w:numPr>
          <w:ilvl w:val="0"/>
          <w:numId w:val="1001"/>
        </w:numPr>
      </w:pPr>
      <w:r>
        <w:t xml:space="preserve">Support for massively distributed NVM storage via scalable</w:t>
      </w:r>
      <w:r>
        <w:t xml:space="preserve"> </w:t>
      </w:r>
      <w:r>
        <w:t xml:space="preserve">collective communications across the storage servers</w:t>
      </w:r>
    </w:p>
    <w:p>
      <w:pPr>
        <w:numPr>
          <w:ilvl w:val="0"/>
          <w:numId w:val="1001"/>
        </w:numPr>
      </w:pPr>
      <w:r>
        <w:t xml:space="preserve">Non-blocking data and metadata operations to allow I/O and</w:t>
      </w:r>
      <w:r>
        <w:t xml:space="preserve"> </w:t>
      </w:r>
      <w:r>
        <w:t xml:space="preserve">computation to overlap</w:t>
      </w:r>
    </w:p>
    <w:p>
      <w:pPr>
        <w:numPr>
          <w:ilvl w:val="0"/>
          <w:numId w:val="1001"/>
        </w:numPr>
      </w:pPr>
      <w:r>
        <w:t xml:space="preserve">Advanced data placement taking into account fault domains</w:t>
      </w:r>
    </w:p>
    <w:p>
      <w:pPr>
        <w:numPr>
          <w:ilvl w:val="0"/>
          <w:numId w:val="1001"/>
        </w:numPr>
      </w:pPr>
      <w:r>
        <w:t xml:space="preserve">Software-managed redundancy supporting both replication and erasure</w:t>
      </w:r>
      <w:r>
        <w:t xml:space="preserve"> </w:t>
      </w:r>
      <w:r>
        <w:t xml:space="preserve">code with an online rebuild</w:t>
      </w:r>
    </w:p>
    <w:p>
      <w:pPr>
        <w:numPr>
          <w:ilvl w:val="0"/>
          <w:numId w:val="1001"/>
        </w:numPr>
      </w:pPr>
      <w:r>
        <w:t xml:space="preserve">End-to-end data integrity</w:t>
      </w:r>
    </w:p>
    <w:p>
      <w:pPr>
        <w:numPr>
          <w:ilvl w:val="0"/>
          <w:numId w:val="1001"/>
        </w:numPr>
      </w:pPr>
      <w:r>
        <w:t xml:space="preserve">Scalable distributed transactions with guaranteed data consistency</w:t>
      </w:r>
      <w:r>
        <w:t xml:space="preserve"> </w:t>
      </w:r>
      <w:r>
        <w:t xml:space="preserve">and automated recovery</w:t>
      </w:r>
    </w:p>
    <w:p>
      <w:pPr>
        <w:numPr>
          <w:ilvl w:val="0"/>
          <w:numId w:val="1001"/>
        </w:numPr>
      </w:pPr>
      <w:r>
        <w:t xml:space="preserve">Dataset snapshot</w:t>
      </w:r>
    </w:p>
    <w:p>
      <w:pPr>
        <w:numPr>
          <w:ilvl w:val="0"/>
          <w:numId w:val="1001"/>
        </w:numPr>
      </w:pPr>
      <w:r>
        <w:t xml:space="preserve">Security framework to manage access control to storage pools</w:t>
      </w:r>
    </w:p>
    <w:p>
      <w:pPr>
        <w:numPr>
          <w:ilvl w:val="0"/>
          <w:numId w:val="1001"/>
        </w:numPr>
      </w:pPr>
      <w:r>
        <w:t xml:space="preserve">Software-defined storage management to provision, configure, modify</w:t>
      </w:r>
      <w:r>
        <w:t xml:space="preserve"> </w:t>
      </w:r>
      <w:r>
        <w:t xml:space="preserve">and monitor storage pools over COTS hardware</w:t>
      </w:r>
    </w:p>
    <w:p>
      <w:pPr>
        <w:numPr>
          <w:ilvl w:val="0"/>
          <w:numId w:val="1001"/>
        </w:numPr>
      </w:pPr>
      <w:r>
        <w:t xml:space="preserve">Native support for Hierarchical Data Format (HDF)5, MPI-IO and POSIX</w:t>
      </w:r>
      <w:r>
        <w:t xml:space="preserve"> </w:t>
      </w:r>
      <w:r>
        <w:t xml:space="preserve">namespace over the DAOS data model</w:t>
      </w:r>
    </w:p>
    <w:p>
      <w:pPr>
        <w:numPr>
          <w:ilvl w:val="0"/>
          <w:numId w:val="1001"/>
        </w:numPr>
      </w:pPr>
      <w:r>
        <w:t xml:space="preserve">Tools for disaster recovery</w:t>
      </w:r>
    </w:p>
    <w:p>
      <w:pPr>
        <w:numPr>
          <w:ilvl w:val="0"/>
          <w:numId w:val="1001"/>
        </w:numPr>
      </w:pPr>
      <w:r>
        <w:t xml:space="preserve">Seamless integration with the Lustre parallel filesystem</w:t>
      </w:r>
    </w:p>
    <w:p>
      <w:pPr>
        <w:numPr>
          <w:ilvl w:val="0"/>
          <w:numId w:val="1001"/>
        </w:numPr>
      </w:pPr>
      <w:r>
        <w:t xml:space="preserve">Mover agent to migrate datasets among DAOS pools and from parallel</w:t>
      </w:r>
      <w:r>
        <w:t xml:space="preserve"> </w:t>
      </w:r>
      <w:r>
        <w:t xml:space="preserve">filesystems to DAOS and vice versa</w:t>
      </w:r>
    </w:p>
    <w:p>
      <w:pPr>
        <w:pStyle w:val="Heading2"/>
      </w:pPr>
      <w:bookmarkStart w:id="23" w:name="daos-components"/>
      <w:r>
        <w:t xml:space="preserve">DAOS Components</w:t>
      </w:r>
      <w:bookmarkEnd w:id="23"/>
    </w:p>
    <w:p>
      <w:pPr>
        <w:pStyle w:val="FirstParagraph"/>
      </w:pPr>
      <w:r>
        <w:t xml:space="preserve">A data center may have hundreds of thousands of compute nodes</w:t>
      </w:r>
      <w:r>
        <w:t xml:space="preserve"> </w:t>
      </w:r>
      <w:r>
        <w:t xml:space="preserve">interconnected via a scalable high-performance fabric, where all, or a</w:t>
      </w:r>
      <w:r>
        <w:t xml:space="preserve"> </w:t>
      </w:r>
      <w:r>
        <w:t xml:space="preserve">subset of the nodes called storage nodes, have direct access to NVM</w:t>
      </w:r>
      <w:r>
        <w:t xml:space="preserve"> </w:t>
      </w:r>
      <w:r>
        <w:t xml:space="preserve">storage. A DAOS installation involves several components that can be</w:t>
      </w:r>
      <w:r>
        <w:t xml:space="preserve"> </w:t>
      </w:r>
      <w:r>
        <w:t xml:space="preserve">either collocated or distributed.</w:t>
      </w:r>
    </w:p>
    <w:p>
      <w:pPr>
        <w:pStyle w:val="Heading3"/>
      </w:pPr>
      <w:bookmarkStart w:id="24" w:name="Xd1954d1cf89831013b22979732f54fd6a7d25d2"/>
      <w:r>
        <w:t xml:space="preserve">DAOS System, Storage Node, Server, I/O Engine, and Target</w:t>
      </w:r>
      <w:bookmarkEnd w:id="24"/>
    </w:p>
    <w:p>
      <w:pPr>
        <w:pStyle w:val="FirstParagraph"/>
      </w:pPr>
      <w:r>
        <w:t xml:space="preserve">A DAOS</w:t>
      </w:r>
      <w:r>
        <w:t xml:space="preserve"> </w:t>
      </w:r>
      <w:r>
        <w:rPr>
          <w:i/>
        </w:rPr>
        <w:t xml:space="preserve">system</w:t>
      </w:r>
      <w:r>
        <w:t xml:space="preserve"> </w:t>
      </w:r>
      <w:r>
        <w:t xml:space="preserve">is identified by a system name, and consists of a set of</w:t>
      </w:r>
      <w:r>
        <w:t xml:space="preserve"> </w:t>
      </w:r>
      <w:r>
        <w:t xml:space="preserve">DAOS</w:t>
      </w:r>
      <w:r>
        <w:t xml:space="preserve"> </w:t>
      </w:r>
      <w:r>
        <w:rPr>
          <w:i/>
        </w:rPr>
        <w:t xml:space="preserve">storage nodes</w:t>
      </w:r>
      <w:r>
        <w:t xml:space="preserve"> </w:t>
      </w:r>
      <w:r>
        <w:t xml:space="preserve">connected to the same fabric. The DAOS storage nodes</w:t>
      </w:r>
      <w:r>
        <w:t xml:space="preserve"> </w:t>
      </w:r>
      <w:r>
        <w:t xml:space="preserve">run one DAOS</w:t>
      </w:r>
      <w:r>
        <w:t xml:space="preserve"> </w:t>
      </w:r>
      <w:r>
        <w:rPr>
          <w:i/>
        </w:rPr>
        <w:t xml:space="preserve">server</w:t>
      </w:r>
      <w:r>
        <w:t xml:space="preserve"> </w:t>
      </w:r>
      <w:r>
        <w:t xml:space="preserve">instance per node, which in turn starts one</w:t>
      </w:r>
      <w:r>
        <w:t xml:space="preserve"> </w:t>
      </w:r>
      <w:r>
        <w:t xml:space="preserve">DAOS</w:t>
      </w:r>
      <w:r>
        <w:t xml:space="preserve"> </w:t>
      </w:r>
      <w:r>
        <w:rPr>
          <w:i/>
        </w:rPr>
        <w:t xml:space="preserve">I/O Engine</w:t>
      </w:r>
      <w:r>
        <w:t xml:space="preserve"> </w:t>
      </w:r>
      <w:r>
        <w:t xml:space="preserve">process per physical socket. Membership of the DAOS</w:t>
      </w:r>
      <w:r>
        <w:t xml:space="preserve"> </w:t>
      </w:r>
      <w:r>
        <w:t xml:space="preserve">servers is recorded into the system map, that assigns a unique integer</w:t>
      </w:r>
      <w:r>
        <w:t xml:space="preserve"> </w:t>
      </w:r>
      <w:r>
        <w:rPr>
          <w:i/>
        </w:rPr>
        <w:t xml:space="preserve">rank</w:t>
      </w:r>
      <w:r>
        <w:t xml:space="preserve"> </w:t>
      </w:r>
      <w:r>
        <w:t xml:space="preserve">to each</w:t>
      </w:r>
      <w:r>
        <w:t xml:space="preserve"> </w:t>
      </w:r>
      <w:r>
        <w:rPr>
          <w:i/>
        </w:rPr>
        <w:t xml:space="preserve">I/O Engine</w:t>
      </w:r>
      <w:r>
        <w:t xml:space="preserve"> </w:t>
      </w:r>
      <w:r>
        <w:t xml:space="preserve">process. Two different DAOS systems comprise</w:t>
      </w:r>
      <w:r>
        <w:t xml:space="preserve"> </w:t>
      </w:r>
      <w:r>
        <w:t xml:space="preserve">two disjoint sets of DAOS servers, and do not coordinate with each other.</w:t>
      </w:r>
    </w:p>
    <w:p>
      <w:pPr>
        <w:pStyle w:val="BodyText"/>
      </w:pPr>
      <w:r>
        <w:t xml:space="preserve">The DAOS</w:t>
      </w:r>
      <w:r>
        <w:t xml:space="preserve"> </w:t>
      </w:r>
      <w:r>
        <w:rPr>
          <w:i/>
        </w:rPr>
        <w:t xml:space="preserve">server</w:t>
      </w:r>
      <w:r>
        <w:t xml:space="preserve"> </w:t>
      </w:r>
      <w:r>
        <w:t xml:space="preserve">is a multi-tenant daemon running on a Linux instance</w:t>
      </w:r>
      <w:r>
        <w:t xml:space="preserve"> </w:t>
      </w:r>
      <w:r>
        <w:t xml:space="preserve">(either natively on the physical node or in a VM or container) of each</w:t>
      </w:r>
      <w:r>
        <w:t xml:space="preserve"> </w:t>
      </w:r>
      <w:r>
        <w:rPr>
          <w:i/>
        </w:rPr>
        <w:t xml:space="preserve">storage node</w:t>
      </w:r>
      <w:r>
        <w:t xml:space="preserve">. Its</w:t>
      </w:r>
      <w:r>
        <w:t xml:space="preserve"> </w:t>
      </w:r>
      <w:r>
        <w:rPr>
          <w:i/>
        </w:rPr>
        <w:t xml:space="preserve">I/O Engine</w:t>
      </w:r>
      <w:r>
        <w:t xml:space="preserve"> </w:t>
      </w:r>
      <w:r>
        <w:t xml:space="preserve">sub-processes export the locally-attached</w:t>
      </w:r>
      <w:r>
        <w:t xml:space="preserve"> </w:t>
      </w:r>
      <w:r>
        <w:t xml:space="preserve">SCM and NVM storage through the network. It listens to a management port</w:t>
      </w:r>
      <w:r>
        <w:t xml:space="preserve"> </w:t>
      </w:r>
      <w:r>
        <w:t xml:space="preserve">(addressed by an IP address and a TCP port number), plus one or more fabric</w:t>
      </w:r>
      <w:r>
        <w:t xml:space="preserve"> </w:t>
      </w:r>
      <w:r>
        <w:t xml:space="preserve">endpoints (addressed by network URIs).</w:t>
      </w:r>
      <w:r>
        <w:t xml:space="preserve"> </w:t>
      </w:r>
      <w:r>
        <w:t xml:space="preserve">The DAOS server is configured through a YAML file in /etc/daos,</w:t>
      </w:r>
      <w:r>
        <w:t xml:space="preserve"> </w:t>
      </w:r>
      <w:r>
        <w:t xml:space="preserve">including the configuration of its I/O Engine sub-processes.</w:t>
      </w:r>
      <w:r>
        <w:t xml:space="preserve"> </w:t>
      </w:r>
      <w:r>
        <w:t xml:space="preserve">The DAOS server startup can be integrated with different daemon management or</w:t>
      </w:r>
      <w:r>
        <w:t xml:space="preserve"> </w:t>
      </w:r>
      <w:r>
        <w:t xml:space="preserve">orchestration frameworks (for example a systemd script, a Kubernetes service,</w:t>
      </w:r>
      <w:r>
        <w:t xml:space="preserve"> </w:t>
      </w:r>
      <w:r>
        <w:t xml:space="preserve">or even via a parallel launcher like pdsh or srun).</w:t>
      </w:r>
    </w:p>
    <w:p>
      <w:pPr>
        <w:pStyle w:val="BodyText"/>
      </w:pPr>
      <w:r>
        <w:t xml:space="preserve">Inside a DAOS I/O Engine, the storage is statically partitioned across</w:t>
      </w:r>
      <w:r>
        <w:t xml:space="preserve"> </w:t>
      </w:r>
      <w:r>
        <w:t xml:space="preserve">multiple</w:t>
      </w:r>
      <w:r>
        <w:t xml:space="preserve"> </w:t>
      </w:r>
      <w:r>
        <w:rPr>
          <w:i/>
        </w:rPr>
        <w:t xml:space="preserve">targets</w:t>
      </w:r>
      <w:r>
        <w:t xml:space="preserve"> </w:t>
      </w:r>
      <w:r>
        <w:t xml:space="preserve">to optimize concurrency. To avoid contention, each</w:t>
      </w:r>
      <w:r>
        <w:t xml:space="preserve"> </w:t>
      </w:r>
      <w:r>
        <w:t xml:space="preserve">target has its private storage, its own pool of service threads, and its</w:t>
      </w:r>
      <w:r>
        <w:t xml:space="preserve"> </w:t>
      </w:r>
      <w:r>
        <w:t xml:space="preserve">dedicated network context that can be directly addressed over the fabric</w:t>
      </w:r>
      <w:r>
        <w:t xml:space="preserve"> </w:t>
      </w:r>
      <w:r>
        <w:t xml:space="preserve">independently of the other targets hosted on the same storage node.</w:t>
      </w:r>
      <w:r>
        <w:t xml:space="preserve"> </w:t>
      </w:r>
      <w:r>
        <w:t xml:space="preserve">The SCM modules are typically configured in</w:t>
      </w:r>
      <w:r>
        <w:t xml:space="preserve"> </w:t>
      </w:r>
      <w:r>
        <w:rPr>
          <w:i/>
        </w:rPr>
        <w:t xml:space="preserve">AppDirect interleaved</w:t>
      </w:r>
      <w:r>
        <w:t xml:space="preserve"> </w:t>
      </w:r>
      <w:r>
        <w:t xml:space="preserve">mode.</w:t>
      </w:r>
      <w:r>
        <w:t xml:space="preserve"> </w:t>
      </w:r>
      <w:r>
        <w:t xml:space="preserve">They are thus presented to the operating system as a single PMEM namespace</w:t>
      </w:r>
      <w:r>
        <w:t xml:space="preserve"> </w:t>
      </w:r>
      <w:r>
        <w:t xml:space="preserve">per socket (in</w:t>
      </w:r>
      <w:r>
        <w:t xml:space="preserve"> </w:t>
      </w:r>
      <w:r>
        <w:rPr>
          <w:rStyle w:val="VerbatimChar"/>
        </w:rPr>
        <w:t xml:space="preserve">fsdax</w:t>
      </w:r>
      <w:r>
        <w:t xml:space="preserve"> </w:t>
      </w:r>
      <w:r>
        <w:t xml:space="preserve">mode). When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targets per I/O Engine are configured,</w:t>
      </w:r>
      <w:r>
        <w:t xml:space="preserve"> </w:t>
      </w:r>
      <w:r>
        <w:t xml:space="preserve">each target is using</w:t>
      </w:r>
      <w:r>
        <w:t xml:space="preserve"> </w:t>
      </w:r>
      <w:r>
        <w:rPr>
          <w:i/>
        </w:rPr>
        <w:t xml:space="preserve">1/N</w:t>
      </w:r>
      <w:r>
        <w:t xml:space="preserve"> </w:t>
      </w:r>
      <w:r>
        <w:t xml:space="preserve">of the capacity of the</w:t>
      </w:r>
      <w:r>
        <w:t xml:space="preserve"> </w:t>
      </w:r>
      <w:r>
        <w:rPr>
          <w:rStyle w:val="VerbatimChar"/>
        </w:rPr>
        <w:t xml:space="preserve">fsdax</w:t>
      </w:r>
      <w:r>
        <w:t xml:space="preserve"> </w:t>
      </w:r>
      <w:r>
        <w:t xml:space="preserve">SCM capacity</w:t>
      </w:r>
      <w:r>
        <w:t xml:space="preserve"> </w:t>
      </w:r>
      <w:r>
        <w:t xml:space="preserve">of that socket, independently of the other targets.</w:t>
      </w:r>
      <w:r>
        <w:t xml:space="preserve"> </w:t>
      </w:r>
      <w:r>
        <w:t xml:space="preserve">Each target is also using a fraction of the NVMe capacity of the NVMe</w:t>
      </w:r>
      <w:r>
        <w:t xml:space="preserve"> </w:t>
      </w:r>
      <w:r>
        <w:t xml:space="preserve">drives that are attached to this socket.</w:t>
      </w:r>
    </w:p>
    <w:p>
      <w:pPr>
        <w:pStyle w:val="BodyText"/>
      </w:pPr>
      <w:r>
        <w:t xml:space="preserve">A target does not implement any internal data protection mechanism</w:t>
      </w:r>
      <w:r>
        <w:t xml:space="preserve"> </w:t>
      </w:r>
      <w:r>
        <w:t xml:space="preserve">against storage media failure. As a result, a target is a single point</w:t>
      </w:r>
      <w:r>
        <w:t xml:space="preserve"> </w:t>
      </w:r>
      <w:r>
        <w:t xml:space="preserve">of failure and the unit of fault.</w:t>
      </w:r>
      <w:r>
        <w:t xml:space="preserve"> </w:t>
      </w:r>
      <w:r>
        <w:t xml:space="preserve">A dynamic state is associated with each target: Its state can be either</w:t>
      </w:r>
      <w:r>
        <w:t xml:space="preserve"> </w:t>
      </w:r>
      <w:r>
        <w:t xml:space="preserve">“</w:t>
      </w:r>
      <w:r>
        <w:t xml:space="preserve">up and running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down and not available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target is the unit of performance. Hardware components associated with</w:t>
      </w:r>
      <w:r>
        <w:t xml:space="preserve"> </w:t>
      </w:r>
      <w:r>
        <w:t xml:space="preserve">the target, such as the backend storage medium, the CPU core(s), and the</w:t>
      </w:r>
      <w:r>
        <w:t xml:space="preserve"> </w:t>
      </w:r>
      <w:r>
        <w:t xml:space="preserve">network, have limited capability and capacity.</w:t>
      </w:r>
    </w:p>
    <w:p>
      <w:pPr>
        <w:pStyle w:val="BodyText"/>
      </w:pPr>
      <w:r>
        <w:t xml:space="preserve">The number of targets exported by a DAOS I/O Engine instance is</w:t>
      </w:r>
      <w:r>
        <w:t xml:space="preserve"> </w:t>
      </w:r>
      <w:r>
        <w:t xml:space="preserve">configurable, and depends on the underlying hardware (in particular,</w:t>
      </w:r>
      <w:r>
        <w:t xml:space="preserve"> </w:t>
      </w:r>
      <w:r>
        <w:t xml:space="preserve">the number of SCM modules and the number of NVMe SSDs that are served</w:t>
      </w:r>
      <w:r>
        <w:t xml:space="preserve"> </w:t>
      </w:r>
      <w:r>
        <w:t xml:space="preserve">by this I/O Engine instance). As a best practice, the number of targets</w:t>
      </w:r>
      <w:r>
        <w:t xml:space="preserve"> </w:t>
      </w:r>
      <w:r>
        <w:t xml:space="preserve">of an I/O Engine should be an integer multiple of the number of NVMe drives</w:t>
      </w:r>
      <w:r>
        <w:t xml:space="preserve"> </w:t>
      </w:r>
      <w:r>
        <w:t xml:space="preserve">that are served by this I/O Engines.</w:t>
      </w:r>
    </w:p>
    <w:p>
      <w:pPr>
        <w:pStyle w:val="Heading3"/>
      </w:pPr>
      <w:bookmarkStart w:id="25" w:name="X9874e05568cd8725bb674e97980f1b3a44193bc"/>
      <w:r>
        <w:t xml:space="preserve">Storage API, Application Interface and Tools</w:t>
      </w:r>
      <w:bookmarkEnd w:id="25"/>
    </w:p>
    <w:p>
      <w:pPr>
        <w:pStyle w:val="FirstParagraph"/>
      </w:pPr>
      <w:r>
        <w:t xml:space="preserve">Applications, users, and administrators can interact with a DAOS system</w:t>
      </w:r>
      <w:r>
        <w:t xml:space="preserve"> </w:t>
      </w:r>
      <w:r>
        <w:t xml:space="preserve">through two different client APIs. The management API offers the ability</w:t>
      </w:r>
      <w:r>
        <w:t xml:space="preserve"> </w:t>
      </w:r>
      <w:r>
        <w:t xml:space="preserve">to administrate a DAOS system. It is intended to be integrated with</w:t>
      </w:r>
      <w:r>
        <w:t xml:space="preserve"> </w:t>
      </w:r>
      <w:r>
        <w:t xml:space="preserve">different vendor-specific storage management or open-source</w:t>
      </w:r>
      <w:r>
        <w:t xml:space="preserve"> </w:t>
      </w:r>
      <w:r>
        <w:t xml:space="preserve">orchestration frameworks. The</w:t>
      </w:r>
      <w:r>
        <w:t xml:space="preserve"> </w:t>
      </w:r>
      <w:r>
        <w:rPr>
          <w:rStyle w:val="VerbatimChar"/>
        </w:rPr>
        <w:t xml:space="preserve">dmg</w:t>
      </w:r>
      <w:r>
        <w:t xml:space="preserve"> </w:t>
      </w:r>
      <w:r>
        <w:t xml:space="preserve">CLI tool is built over the DAOS management</w:t>
      </w:r>
      <w:r>
        <w:t xml:space="preserve"> </w:t>
      </w:r>
      <w:r>
        <w:t xml:space="preserve">API. On the other hand, the DAOS library (</w:t>
      </w:r>
      <w:r>
        <w:rPr>
          <w:rStyle w:val="VerbatimChar"/>
        </w:rPr>
        <w:t xml:space="preserve">libdaos</w:t>
      </w:r>
      <w:r>
        <w:t xml:space="preserve">) implements the</w:t>
      </w:r>
      <w:r>
        <w:t xml:space="preserve"> </w:t>
      </w:r>
      <w:r>
        <w:t xml:space="preserve">DAOS storage model. It is primarily targeted at application and I/O</w:t>
      </w:r>
      <w:r>
        <w:t xml:space="preserve"> </w:t>
      </w:r>
      <w:r>
        <w:t xml:space="preserve">middleware developers who want to store datasets in a DAOS system. User</w:t>
      </w:r>
      <w:r>
        <w:t xml:space="preserve"> </w:t>
      </w:r>
      <w:r>
        <w:t xml:space="preserve">utilities like the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command are also built over the API to allow</w:t>
      </w:r>
      <w:r>
        <w:t xml:space="preserve"> </w:t>
      </w:r>
      <w:r>
        <w:t xml:space="preserve">users to manage datasets from a CLI.</w:t>
      </w:r>
    </w:p>
    <w:p>
      <w:pPr>
        <w:pStyle w:val="BodyText"/>
      </w:pPr>
      <w:r>
        <w:t xml:space="preserve">Applications can access datasets stored in DAOS either directly through</w:t>
      </w:r>
      <w:r>
        <w:t xml:space="preserve"> </w:t>
      </w:r>
      <w:r>
        <w:t xml:space="preserve">the native DAOS API, through an I/O middleware library (e.g. POSIX</w:t>
      </w:r>
      <w:r>
        <w:t xml:space="preserve"> </w:t>
      </w:r>
      <w:r>
        <w:t xml:space="preserve">emulation, MPI-IO, HDF5) or through frameworks like Spark or TensorFlow</w:t>
      </w:r>
      <w:r>
        <w:t xml:space="preserve"> </w:t>
      </w:r>
      <w:r>
        <w:t xml:space="preserve">that have already been integrated with the native DAOS storage model.</w:t>
      </w:r>
    </w:p>
    <w:p>
      <w:pPr>
        <w:pStyle w:val="Heading3"/>
      </w:pPr>
      <w:bookmarkStart w:id="26" w:name="agent"/>
      <w:r>
        <w:t xml:space="preserve">Agent</w:t>
      </w:r>
      <w:bookmarkEnd w:id="26"/>
    </w:p>
    <w:p>
      <w:pPr>
        <w:pStyle w:val="FirstParagraph"/>
      </w:pPr>
      <w:r>
        <w:t xml:space="preserve">The DAOS agent is a daemon residing on the client nodes that interacts</w:t>
      </w:r>
      <w:r>
        <w:t xml:space="preserve"> </w:t>
      </w:r>
      <w:r>
        <w:t xml:space="preserve">with the DAOS library to authenticate the application processes. It is a</w:t>
      </w:r>
      <w:r>
        <w:t xml:space="preserve"> </w:t>
      </w:r>
      <w:r>
        <w:t xml:space="preserve">trusted entity that can sign the DAOS Client credentials using</w:t>
      </w:r>
      <w:r>
        <w:t xml:space="preserve"> </w:t>
      </w:r>
      <w:r>
        <w:t xml:space="preserve">certificates. The agent can support different authentication frameworks,</w:t>
      </w:r>
      <w:r>
        <w:t xml:space="preserve"> </w:t>
      </w:r>
      <w:r>
        <w:t xml:space="preserve">and uses a Unix Domain Socket to communicate with the client library.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2021-03-19T14:16:19Z</dcterms:created>
  <dcterms:modified xsi:type="dcterms:W3CDTF">2021-03-19T14:16:19Z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