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urity-model"/>
      <w:r>
        <w:t xml:space="preserve">Security Model</w:t>
      </w:r>
      <w:bookmarkEnd w:id="20"/>
    </w:p>
    <w:p>
      <w:pPr>
        <w:pStyle w:val="FirstParagraph"/>
      </w:pPr>
      <w:r>
        <w:t xml:space="preserve">DAOS uses a flexible security model that separates authentication from</w:t>
      </w:r>
      <w:r>
        <w:t xml:space="preserve"> </w:t>
      </w:r>
      <w:r>
        <w:t xml:space="preserve">authorization. It is designed to have a minimal impact on the I/O path.</w:t>
      </w:r>
    </w:p>
    <w:p>
      <w:pPr>
        <w:pStyle w:val="BodyText"/>
      </w:pPr>
      <w:r>
        <w:t xml:space="preserve">DAOS does not provide any transport security for the fabric network used for I/O</w:t>
      </w:r>
      <w:r>
        <w:t xml:space="preserve"> </w:t>
      </w:r>
      <w:r>
        <w:t xml:space="preserve">transfers. When deploying DAOS, the administrator is responsible for secure</w:t>
      </w:r>
      <w:r>
        <w:t xml:space="preserve"> </w:t>
      </w:r>
      <w:r>
        <w:t xml:space="preserve">configuration of their specific fabric network. For RDMA over Ethernet, enabling</w:t>
      </w:r>
      <w:r>
        <w:t xml:space="preserve"> </w:t>
      </w:r>
      <w:r>
        <w:t xml:space="preserve">IPsec is recommended. See the</w:t>
      </w:r>
      <w:r>
        <w:t xml:space="preserve"> </w:t>
      </w:r>
      <w:hyperlink r:id="rId21">
        <w:r>
          <w:rPr>
            <w:rStyle w:val="Hyperlink"/>
          </w:rPr>
          <w:t xml:space="preserve">RDMA protocol spec (RFC 5040)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There are two areas where DAOS implements its own layer of security. At the user</w:t>
      </w:r>
      <w:r>
        <w:t xml:space="preserve"> </w:t>
      </w:r>
      <w:r>
        <w:t xml:space="preserve">level, clients must be able to read and modify only</w:t>
      </w:r>
      <w:r>
        <w:t xml:space="preserve"> </w:t>
      </w:r>
      <w:r>
        <w:rPr>
          <w:i/>
        </w:rPr>
        <w:t xml:space="preserve">pools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containers</w:t>
      </w:r>
      <w:r>
        <w:t xml:space="preserve"> </w:t>
      </w:r>
      <w:r>
        <w:t xml:space="preserve">to</w:t>
      </w:r>
      <w:r>
        <w:t xml:space="preserve"> </w:t>
      </w:r>
      <w:r>
        <w:t xml:space="preserve">which they have been granted access. At the system and administrative levels,</w:t>
      </w:r>
      <w:r>
        <w:t xml:space="preserve"> </w:t>
      </w:r>
      <w:r>
        <w:t xml:space="preserve">only authorized components must be able to access the DAOS management network.</w:t>
      </w:r>
    </w:p>
    <w:p>
      <w:pPr>
        <w:pStyle w:val="Heading2"/>
      </w:pPr>
      <w:bookmarkStart w:id="22" w:name="authentication"/>
      <w:r>
        <w:t xml:space="preserve">Authentication</w:t>
      </w:r>
      <w:bookmarkEnd w:id="22"/>
    </w:p>
    <w:p>
      <w:pPr>
        <w:pStyle w:val="FirstParagraph"/>
      </w:pPr>
      <w:r>
        <w:t xml:space="preserve">There are different means of authentication, depending on whether the caller is</w:t>
      </w:r>
      <w:r>
        <w:t xml:space="preserve"> </w:t>
      </w:r>
      <w:r>
        <w:t xml:space="preserve">accessing client resources or the DAOS management network.</w:t>
      </w:r>
    </w:p>
    <w:p>
      <w:pPr>
        <w:pStyle w:val="Heading3"/>
      </w:pPr>
      <w:bookmarkStart w:id="23" w:name="client-library"/>
      <w:r>
        <w:t xml:space="preserve">Client Library</w:t>
      </w:r>
      <w:bookmarkEnd w:id="23"/>
    </w:p>
    <w:p>
      <w:pPr>
        <w:pStyle w:val="FirstParagraph"/>
      </w:pPr>
      <w:r>
        <w:t xml:space="preserve">The client library</w:t>
      </w:r>
      <w:r>
        <w:t xml:space="preserve"> </w:t>
      </w:r>
      <w:r>
        <w:rPr>
          <w:rStyle w:val="VerbatimChar"/>
        </w:rPr>
        <w:t xml:space="preserve">libdaos</w:t>
      </w:r>
      <w:r>
        <w:t xml:space="preserve"> </w:t>
      </w:r>
      <w:r>
        <w:t xml:space="preserve">is an untrusted component. The</w:t>
      </w:r>
      <w:r>
        <w:t xml:space="preserve"> </w:t>
      </w:r>
      <w:r>
        <w:rPr>
          <w:rStyle w:val="VerbatimChar"/>
        </w:rPr>
        <w:t xml:space="preserve">daos</w:t>
      </w:r>
      <w:r>
        <w:t xml:space="preserve"> </w:t>
      </w:r>
      <w:r>
        <w:t xml:space="preserve">user-level</w:t>
      </w:r>
      <w:r>
        <w:t xml:space="preserve"> </w:t>
      </w:r>
      <w:r>
        <w:t xml:space="preserve">command that uses the client library is also an untrusted component.</w:t>
      </w:r>
      <w:r>
        <w:t xml:space="preserve"> </w:t>
      </w:r>
      <w:r>
        <w:t xml:space="preserve">A trusted process, the DAOS agent (</w:t>
      </w:r>
      <w:r>
        <w:rPr>
          <w:rStyle w:val="VerbatimChar"/>
        </w:rPr>
        <w:t xml:space="preserve">daos_agent</w:t>
      </w:r>
      <w:r>
        <w:t xml:space="preserve">),</w:t>
      </w:r>
      <w:r>
        <w:t xml:space="preserve"> </w:t>
      </w:r>
      <w:r>
        <w:t xml:space="preserve">runs on each client node and authenticates the user processes.</w:t>
      </w:r>
    </w:p>
    <w:p>
      <w:pPr>
        <w:pStyle w:val="BodyText"/>
      </w:pPr>
      <w:r>
        <w:t xml:space="preserve">The DAOS security model is designed to support different authentication methods</w:t>
      </w:r>
      <w:r>
        <w:t xml:space="preserve"> </w:t>
      </w:r>
      <w:r>
        <w:t xml:space="preserve">for client processes. Currently, we support AUTH_SYS authentication only.</w:t>
      </w:r>
    </w:p>
    <w:p>
      <w:pPr>
        <w:pStyle w:val="Heading3"/>
      </w:pPr>
      <w:bookmarkStart w:id="24" w:name="daos-management-network"/>
      <w:r>
        <w:t xml:space="preserve">DAOS Management Network</w:t>
      </w:r>
      <w:bookmarkEnd w:id="24"/>
    </w:p>
    <w:p>
      <w:pPr>
        <w:pStyle w:val="FirstParagraph"/>
      </w:pPr>
      <w:r>
        <w:t xml:space="preserve">Each trusted DAOS component (</w:t>
      </w:r>
      <w:r>
        <w:rPr>
          <w:rStyle w:val="VerbatimChar"/>
        </w:rPr>
        <w:t xml:space="preserve">daos_server</w:t>
      </w:r>
      <w:r>
        <w:t xml:space="preserve">,</w:t>
      </w:r>
      <w:r>
        <w:t xml:space="preserve"> </w:t>
      </w:r>
      <w:r>
        <w:rPr>
          <w:rStyle w:val="VerbatimChar"/>
        </w:rPr>
        <w:t xml:space="preserve">daos_agent</w:t>
      </w:r>
      <w:r>
        <w:t xml:space="preserve">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dmg</w:t>
      </w:r>
      <w:r>
        <w:t xml:space="preserve"> </w:t>
      </w:r>
      <w:r>
        <w:t xml:space="preserve">administrative tool) is</w:t>
      </w:r>
      <w:r>
        <w:t xml:space="preserve"> </w:t>
      </w:r>
      <w:r>
        <w:t xml:space="preserve">authenticated by means of a certificate generated for that component. These</w:t>
      </w:r>
      <w:r>
        <w:t xml:space="preserve"> </w:t>
      </w:r>
      <w:r>
        <w:t xml:space="preserve">components identify one another over the DAOS management network via</w:t>
      </w:r>
      <w:r>
        <w:t xml:space="preserve"> </w:t>
      </w:r>
      <w:r>
        <w:t xml:space="preserve">mutually-authenticated TLS.</w:t>
      </w:r>
    </w:p>
    <w:p>
      <w:pPr>
        <w:pStyle w:val="Heading2"/>
      </w:pPr>
      <w:bookmarkStart w:id="25" w:name="authorization"/>
      <w:r>
        <w:t xml:space="preserve">Authorization</w:t>
      </w:r>
      <w:bookmarkEnd w:id="25"/>
    </w:p>
    <w:p>
      <w:pPr>
        <w:pStyle w:val="FirstParagraph"/>
      </w:pPr>
      <w:r>
        <w:t xml:space="preserve">Client authorization for resources is controlled by the Access Control List</w:t>
      </w:r>
      <w:r>
        <w:t xml:space="preserve"> </w:t>
      </w:r>
      <w:r>
        <w:t xml:space="preserve">(ACL) on the resource. Authorization on the management network is</w:t>
      </w:r>
      <w:r>
        <w:t xml:space="preserve"> </w:t>
      </w:r>
      <w:r>
        <w:t xml:space="preserve">achieved by settings on the</w:t>
      </w:r>
      <w:r>
        <w:t xml:space="preserve"> </w:t>
      </w:r>
      <w:hyperlink r:id="rId26">
        <w:r>
          <w:rPr>
            <w:rStyle w:val="Hyperlink"/>
          </w:rPr>
          <w:t xml:space="preserve">certificates</w:t>
        </w:r>
      </w:hyperlink>
      <w:r>
        <w:t xml:space="preserve"> </w:t>
      </w:r>
      <w:r>
        <w:t xml:space="preserve">that are generated while setting up the DAOS system.</w:t>
      </w:r>
    </w:p>
    <w:p>
      <w:pPr>
        <w:pStyle w:val="Heading3"/>
      </w:pPr>
      <w:bookmarkStart w:id="27" w:name="component-certificates"/>
      <w:r>
        <w:t xml:space="preserve">Component Certificates</w:t>
      </w:r>
      <w:bookmarkEnd w:id="27"/>
    </w:p>
    <w:p>
      <w:pPr>
        <w:pStyle w:val="FirstParagraph"/>
      </w:pPr>
      <w:r>
        <w:t xml:space="preserve">Access to DAOS management RPCs is controlled via the CommonName (CN) set in</w:t>
      </w:r>
      <w:r>
        <w:t xml:space="preserve"> </w:t>
      </w:r>
      <w:r>
        <w:t xml:space="preserve">each management component certificate. A given management RPC may only be</w:t>
      </w:r>
      <w:r>
        <w:t xml:space="preserve"> </w:t>
      </w:r>
      <w:r>
        <w:t xml:space="preserve">invoked by a component which connects with the correct certificate.</w:t>
      </w:r>
    </w:p>
    <w:p>
      <w:pPr>
        <w:pStyle w:val="Heading3"/>
      </w:pPr>
      <w:bookmarkStart w:id="28" w:name="access-control-lists"/>
      <w:r>
        <w:t xml:space="preserve">Access Control Lists</w:t>
      </w:r>
      <w:bookmarkEnd w:id="28"/>
    </w:p>
    <w:p>
      <w:pPr>
        <w:pStyle w:val="FirstParagraph"/>
      </w:pPr>
      <w:r>
        <w:t xml:space="preserve">Client access to resources like</w:t>
      </w:r>
      <w:r>
        <w:t xml:space="preserve"> </w:t>
      </w:r>
      <w:r>
        <w:rPr>
          <w:i/>
        </w:rPr>
        <w:t xml:space="preserve">pools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containers</w:t>
      </w:r>
      <w:r>
        <w:t xml:space="preserve"> </w:t>
      </w:r>
      <w:r>
        <w:t xml:space="preserve">is controlled by</w:t>
      </w:r>
      <w:r>
        <w:t xml:space="preserve"> </w:t>
      </w:r>
      <w:r>
        <w:t xml:space="preserve">DAOS Access Control Lists (ACLs). These ACLs are derived in part from NFSv4 ACLs,</w:t>
      </w:r>
      <w:r>
        <w:t xml:space="preserve"> </w:t>
      </w:r>
      <w:r>
        <w:t xml:space="preserve">and adapted for the unique needs of a distributed system.</w:t>
      </w:r>
    </w:p>
    <w:p>
      <w:pPr>
        <w:pStyle w:val="BodyText"/>
      </w:pPr>
      <w:r>
        <w:t xml:space="preserve">The client may request read-only or read-write access to the resource. If the</w:t>
      </w:r>
      <w:r>
        <w:t xml:space="preserve"> </w:t>
      </w:r>
      <w:r>
        <w:t xml:space="preserve">resource ACL doesn’t grant them the requested access level, they won’t</w:t>
      </w:r>
      <w:r>
        <w:t xml:space="preserve"> </w:t>
      </w:r>
      <w:r>
        <w:t xml:space="preserve">be able to connect. While connected, their handle to that resource grants</w:t>
      </w:r>
      <w:r>
        <w:t xml:space="preserve"> </w:t>
      </w:r>
      <w:r>
        <w:t xml:space="preserve">permissions for specific actions.</w:t>
      </w:r>
    </w:p>
    <w:p>
      <w:pPr>
        <w:pStyle w:val="BodyText"/>
      </w:pPr>
      <w:r>
        <w:t xml:space="preserve">The permissions of a handle last for the duration of its existence, similar to</w:t>
      </w:r>
      <w:r>
        <w:t xml:space="preserve"> </w:t>
      </w:r>
      <w:r>
        <w:t xml:space="preserve">an open file descriptor in a POSIX system. A handle cannot currently be revoked.</w:t>
      </w:r>
    </w:p>
    <w:p>
      <w:pPr>
        <w:pStyle w:val="Heading4"/>
      </w:pPr>
      <w:bookmarkStart w:id="29" w:name="access-control-entries"/>
      <w:r>
        <w:t xml:space="preserve">Access Control Entries</w:t>
      </w:r>
      <w:bookmarkEnd w:id="29"/>
    </w:p>
    <w:p>
      <w:pPr>
        <w:pStyle w:val="FirstParagraph"/>
      </w:pPr>
      <w:r>
        <w:t xml:space="preserve">In the input and output of DAOS tools, an Access Control Entry (ACE) is defined</w:t>
      </w:r>
      <w:r>
        <w:t xml:space="preserve"> </w:t>
      </w:r>
      <w:r>
        <w:t xml:space="preserve">using a colon-separated string with the following format:</w:t>
      </w:r>
      <w:r>
        <w:t xml:space="preserve"> </w:t>
      </w:r>
      <w:r>
        <w:rPr>
          <w:rStyle w:val="VerbatimChar"/>
        </w:rPr>
        <w:t xml:space="preserve">TYPE:FLAGS:PRINCIPAL:PERMISSIONS</w:t>
      </w:r>
    </w:p>
    <w:p>
      <w:pPr>
        <w:pStyle w:val="BodyText"/>
      </w:pPr>
      <w:r>
        <w:t xml:space="preserve">The contents of all the fields are case-sensitive.</w:t>
      </w:r>
    </w:p>
    <w:p>
      <w:pPr>
        <w:pStyle w:val="Heading5"/>
      </w:pPr>
      <w:bookmarkStart w:id="30" w:name="type"/>
      <w:r>
        <w:t xml:space="preserve">Type</w:t>
      </w:r>
      <w:bookmarkEnd w:id="30"/>
    </w:p>
    <w:p>
      <w:pPr>
        <w:pStyle w:val="FirstParagraph"/>
      </w:pPr>
      <w:r>
        <w:t xml:space="preserve">The type of ACE entry (mandatory). Only one type of ACE is supported at this time.</w:t>
      </w:r>
    </w:p>
    <w:p>
      <w:pPr>
        <w:numPr>
          <w:ilvl w:val="0"/>
          <w:numId w:val="1001"/>
        </w:numPr>
        <w:pStyle w:val="Compact"/>
      </w:pPr>
      <w:r>
        <w:t xml:space="preserve">A (Allow): Allow access to the specified principal for the given permissions.</w:t>
      </w:r>
    </w:p>
    <w:p>
      <w:pPr>
        <w:pStyle w:val="Heading5"/>
      </w:pPr>
      <w:bookmarkStart w:id="31" w:name="flags"/>
      <w:r>
        <w:t xml:space="preserve">Flags</w:t>
      </w:r>
      <w:bookmarkEnd w:id="31"/>
    </w:p>
    <w:p>
      <w:pPr>
        <w:pStyle w:val="FirstParagraph"/>
      </w:pPr>
      <w:r>
        <w:t xml:space="preserve">The (optional) flags provide additional information about how the ACE should be</w:t>
      </w:r>
      <w:r>
        <w:t xml:space="preserve"> </w:t>
      </w:r>
      <w:r>
        <w:t xml:space="preserve">interpreted.</w:t>
      </w:r>
    </w:p>
    <w:p>
      <w:pPr>
        <w:numPr>
          <w:ilvl w:val="0"/>
          <w:numId w:val="1002"/>
        </w:numPr>
        <w:pStyle w:val="Compact"/>
      </w:pPr>
      <w:r>
        <w:t xml:space="preserve">G (Group): The principal should be interpreted as a group.</w:t>
      </w:r>
    </w:p>
    <w:p>
      <w:pPr>
        <w:pStyle w:val="Heading5"/>
      </w:pPr>
      <w:bookmarkStart w:id="32" w:name="principal"/>
      <w:r>
        <w:t xml:space="preserve">Principal</w:t>
      </w:r>
      <w:bookmarkEnd w:id="32"/>
    </w:p>
    <w:p>
      <w:pPr>
        <w:pStyle w:val="FirstParagraph"/>
      </w:pPr>
      <w:r>
        <w:t xml:space="preserve">The principal (also called the identity) is specified in the</w:t>
      </w:r>
      <w:r>
        <w:t xml:space="preserve"> </w:t>
      </w:r>
      <w:r>
        <w:rPr>
          <w:rStyle w:val="VerbatimChar"/>
        </w:rPr>
        <w:t xml:space="preserve">name@domain</w:t>
      </w:r>
      <w:r>
        <w:t xml:space="preserve"> </w:t>
      </w:r>
      <w:r>
        <w:t xml:space="preserve">format.</w:t>
      </w:r>
      <w:r>
        <w:t xml:space="preserve"> </w:t>
      </w:r>
      <w:r>
        <w:t xml:space="preserve">The domain should be left off if the name is a UNIX user/group on the local</w:t>
      </w:r>
      <w:r>
        <w:t xml:space="preserve"> </w:t>
      </w:r>
      <w:r>
        <w:t xml:space="preserve">domain. Currently, this is the only case supported by DAOS.</w:t>
      </w:r>
    </w:p>
    <w:p>
      <w:pPr>
        <w:pStyle w:val="BodyText"/>
      </w:pPr>
      <w:r>
        <w:t xml:space="preserve">There are three special principals,</w:t>
      </w:r>
      <w:r>
        <w:t xml:space="preserve"> </w:t>
      </w:r>
      <w:r>
        <w:rPr>
          <w:rStyle w:val="VerbatimChar"/>
        </w:rPr>
        <w:t xml:space="preserve">OWNER@</w:t>
      </w:r>
      <w:r>
        <w:t xml:space="preserve">,</w:t>
      </w:r>
      <w:r>
        <w:t xml:space="preserve"> </w:t>
      </w:r>
      <w:r>
        <w:rPr>
          <w:rStyle w:val="VerbatimChar"/>
        </w:rPr>
        <w:t xml:space="preserve">GROUP@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EVERYONE@</w:t>
      </w:r>
      <w:r>
        <w:t xml:space="preserve">,</w:t>
      </w:r>
      <w:r>
        <w:t xml:space="preserve"> </w:t>
      </w:r>
      <w:r>
        <w:t xml:space="preserve">which align with User, Group, and Other from traditional POSIX permission bits.</w:t>
      </w:r>
      <w:r>
        <w:t xml:space="preserve"> </w:t>
      </w:r>
      <w:r>
        <w:t xml:space="preserve">When providing them in the ACE string format, they must be spelled exactly as</w:t>
      </w:r>
      <w:r>
        <w:t xml:space="preserve"> </w:t>
      </w:r>
      <w:r>
        <w:t xml:space="preserve">written here, in uppercase with no domain appended. The</w:t>
      </w:r>
      <w:r>
        <w:t xml:space="preserve"> </w:t>
      </w:r>
      <w:r>
        <w:rPr>
          <w:rStyle w:val="VerbatimChar"/>
        </w:rPr>
        <w:t xml:space="preserve">GROUP@</w:t>
      </w:r>
      <w:r>
        <w:t xml:space="preserve"> </w:t>
      </w:r>
      <w:r>
        <w:t xml:space="preserve">entry must</w:t>
      </w:r>
      <w:r>
        <w:t xml:space="preserve"> </w:t>
      </w:r>
      <w:r>
        <w:t xml:space="preserve">also have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(group) flag.</w:t>
      </w:r>
    </w:p>
    <w:p>
      <w:pPr>
        <w:pStyle w:val="Heading5"/>
      </w:pPr>
      <w:bookmarkStart w:id="33" w:name="permissions"/>
      <w:r>
        <w:t xml:space="preserve">Permissions</w:t>
      </w:r>
      <w:bookmarkEnd w:id="33"/>
    </w:p>
    <w:p>
      <w:pPr>
        <w:pStyle w:val="FirstParagraph"/>
      </w:pPr>
      <w:r>
        <w:t xml:space="preserve">The permissions in a resource’s ACE permit a certain type of user access to</w:t>
      </w:r>
      <w:r>
        <w:t xml:space="preserve"> </w:t>
      </w:r>
      <w:r>
        <w:t xml:space="preserve">the resource. The order of the permission</w:t>
      </w:r>
      <w:r>
        <w:t xml:space="preserve"> </w:t>
      </w:r>
      <w:r>
        <w:t xml:space="preserve">“</w:t>
      </w:r>
      <w:r>
        <w:t xml:space="preserve">bits</w:t>
      </w:r>
      <w:r>
        <w:t xml:space="preserve">”</w:t>
      </w:r>
      <w:r>
        <w:t xml:space="preserve"> </w:t>
      </w:r>
      <w:r>
        <w:t xml:space="preserve">(characters) within the</w:t>
      </w:r>
      <w:r>
        <w:t xml:space="preserve"> </w:t>
      </w:r>
      <w:r>
        <w:rPr>
          <w:rStyle w:val="VerbatimChar"/>
        </w:rPr>
        <w:t xml:space="preserve">PERMISSIONS</w:t>
      </w:r>
      <w:r>
        <w:t xml:space="preserve"> </w:t>
      </w:r>
      <w:r>
        <w:t xml:space="preserve">field of the ACE is not significant.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Permission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Pool 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Container Meaning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 (Read)</w:t>
            </w:r>
          </w:p>
        </w:tc>
        <w:tc>
          <w:p>
            <w:pPr>
              <w:pStyle w:val="Compact"/>
              <w:jc w:val="left"/>
            </w:pPr>
            <w:r>
              <w:t xml:space="preserve">Alias for</w:t>
            </w:r>
            <w:r>
              <w:t xml:space="preserve"> </w:t>
            </w:r>
            <w:r>
              <w:t xml:space="preserve">‘</w:t>
            </w:r>
            <w:r>
              <w:t xml:space="preserve">t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Read container data and attributes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 (Write)</w:t>
            </w:r>
          </w:p>
        </w:tc>
        <w:tc>
          <w:p>
            <w:pPr>
              <w:pStyle w:val="Compact"/>
              <w:jc w:val="left"/>
            </w:pPr>
            <w:r>
              <w:t xml:space="preserve">Alias for</w:t>
            </w:r>
            <w:r>
              <w:t xml:space="preserve"> </w:t>
            </w:r>
            <w:r>
              <w:t xml:space="preserve">‘</w:t>
            </w:r>
            <w:r>
              <w:t xml:space="preserve">c</w:t>
            </w:r>
            <w:r>
              <w:t xml:space="preserve">’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‘</w:t>
            </w:r>
            <w:r>
              <w:t xml:space="preserve">d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Write container data and attributes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(Create)</w:t>
            </w:r>
          </w:p>
        </w:tc>
        <w:tc>
          <w:p>
            <w:pPr>
              <w:pStyle w:val="Compact"/>
              <w:jc w:val="left"/>
            </w:pPr>
            <w:r>
              <w:t xml:space="preserve">Create containers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(Delete)</w:t>
            </w:r>
          </w:p>
        </w:tc>
        <w:tc>
          <w:p>
            <w:pPr>
              <w:pStyle w:val="Compact"/>
              <w:jc w:val="left"/>
            </w:pPr>
            <w:r>
              <w:t xml:space="preserve">Delete any container</w:t>
            </w:r>
          </w:p>
        </w:tc>
        <w:tc>
          <w:p>
            <w:pPr>
              <w:pStyle w:val="Compact"/>
              <w:jc w:val="left"/>
            </w:pPr>
            <w:r>
              <w:t xml:space="preserve">Delete this container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 (Get-Prop)</w:t>
            </w:r>
          </w:p>
        </w:tc>
        <w:tc>
          <w:p>
            <w:pPr>
              <w:pStyle w:val="Compact"/>
              <w:jc w:val="left"/>
            </w:pPr>
            <w:r>
              <w:t xml:space="preserve">Connect/query</w:t>
            </w:r>
          </w:p>
        </w:tc>
        <w:tc>
          <w:p>
            <w:pPr>
              <w:pStyle w:val="Compact"/>
              <w:jc w:val="left"/>
            </w:pPr>
            <w:r>
              <w:t xml:space="preserve">Get container properties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 (Set-Prop)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Set/Change container properties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(Get-ACL)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Get container ACL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(Set-ACL)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Set/Change container ACL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 (Set-Owner)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Set/Change container’s owner user and group</w:t>
            </w:r>
          </w:p>
        </w:tc>
      </w:tr>
    </w:tbl>
    <w:p>
      <w:pPr>
        <w:pStyle w:val="BodyText"/>
      </w:pPr>
      <w:r>
        <w:t xml:space="preserve">ACEs containing permissions not applicable to the given resource are considered</w:t>
      </w:r>
      <w:r>
        <w:t xml:space="preserve"> </w:t>
      </w:r>
      <w:r>
        <w:t xml:space="preserve">invalid.</w:t>
      </w:r>
    </w:p>
    <w:p>
      <w:pPr>
        <w:pStyle w:val="BodyText"/>
      </w:pPr>
      <w:r>
        <w:t xml:space="preserve">To allow a user/group to connect to a resource, that principal’s permissions</w:t>
      </w:r>
      <w:r>
        <w:t xml:space="preserve"> </w:t>
      </w:r>
      <w:r>
        <w:t xml:space="preserve">must include at least some form of read access (for example,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get-prop</w:t>
      </w:r>
      <w:r>
        <w:t xml:space="preserve">).</w:t>
      </w:r>
      <w:r>
        <w:t xml:space="preserve"> </w:t>
      </w:r>
      <w:r>
        <w:t xml:space="preserve">A user with</w:t>
      </w:r>
      <w:r>
        <w:t xml:space="preserve"> </w:t>
      </w:r>
      <w:r>
        <w:rPr>
          <w:rStyle w:val="VerbatimChar"/>
        </w:rPr>
        <w:t xml:space="preserve">write</w:t>
      </w:r>
      <w:r>
        <w:t xml:space="preserve">-only permissions will be rejected when requesting RW access to</w:t>
      </w:r>
      <w:r>
        <w:t xml:space="preserve"> </w:t>
      </w:r>
      <w:r>
        <w:t xml:space="preserve">a resource.</w:t>
      </w:r>
    </w:p>
    <w:p>
      <w:pPr>
        <w:pStyle w:val="Heading5"/>
      </w:pPr>
      <w:bookmarkStart w:id="34" w:name="denying-access"/>
      <w:r>
        <w:t xml:space="preserve">Denying Access</w:t>
      </w:r>
      <w:bookmarkEnd w:id="34"/>
    </w:p>
    <w:p>
      <w:pPr>
        <w:pStyle w:val="FirstParagraph"/>
      </w:pPr>
      <w:r>
        <w:t xml:space="preserve">Currently, only</w:t>
      </w:r>
      <w:r>
        <w:t xml:space="preserve"> </w:t>
      </w:r>
      <w:r>
        <w:t xml:space="preserve">“</w:t>
      </w:r>
      <w:r>
        <w:t xml:space="preserve">Allow</w:t>
      </w:r>
      <w:r>
        <w:t xml:space="preserve">”</w:t>
      </w:r>
      <w:r>
        <w:t xml:space="preserve"> </w:t>
      </w:r>
      <w:r>
        <w:t xml:space="preserve">Access Control Entries are supported.</w:t>
      </w:r>
    </w:p>
    <w:p>
      <w:pPr>
        <w:pStyle w:val="BodyText"/>
      </w:pPr>
      <w:r>
        <w:t xml:space="preserve">However, it is possible to deny access to a specific user by creating an Allow</w:t>
      </w:r>
      <w:r>
        <w:t xml:space="preserve"> </w:t>
      </w:r>
      <w:r>
        <w:t xml:space="preserve">entry for them with no permissions. This is fundamentally different from</w:t>
      </w:r>
      <w:r>
        <w:t xml:space="preserve"> </w:t>
      </w:r>
      <w:r>
        <w:t xml:space="preserve">removing a user’s ACE, which allows other ACEs in the ACL to determine their</w:t>
      </w:r>
      <w:r>
        <w:t xml:space="preserve"> </w:t>
      </w:r>
      <w:r>
        <w:t xml:space="preserve">access.</w:t>
      </w:r>
    </w:p>
    <w:p>
      <w:pPr>
        <w:pStyle w:val="BodyText"/>
      </w:pPr>
      <w:r>
        <w:t xml:space="preserve">It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possible to deny access to a specific group in this way, due to</w:t>
      </w:r>
      <w:r>
        <w:t xml:space="preserve"> </w:t>
      </w:r>
      <w:hyperlink w:anchor="enforcement">
        <w:r>
          <w:rPr>
            <w:rStyle w:val="Hyperlink"/>
          </w:rPr>
          <w:t xml:space="preserve">the way group permissions are enforced</w:t>
        </w:r>
      </w:hyperlink>
      <w:r>
        <w:t xml:space="preserve">.</w:t>
      </w:r>
    </w:p>
    <w:p>
      <w:pPr>
        <w:pStyle w:val="Heading5"/>
      </w:pPr>
      <w:bookmarkStart w:id="35" w:name="ace-examples"/>
      <w:r>
        <w:t xml:space="preserve">ACE Examples</w:t>
      </w:r>
      <w:bookmarkEnd w:id="35"/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A::daos_user@:rw</w:t>
      </w:r>
    </w:p>
    <w:p>
      <w:pPr>
        <w:numPr>
          <w:ilvl w:val="1"/>
          <w:numId w:val="1004"/>
        </w:numPr>
        <w:pStyle w:val="Compact"/>
      </w:pPr>
      <w:r>
        <w:t xml:space="preserve">Allow the UNIX user named</w:t>
      </w:r>
      <w:r>
        <w:t xml:space="preserve"> </w:t>
      </w:r>
      <w:r>
        <w:rPr>
          <w:rStyle w:val="VerbatimChar"/>
        </w:rPr>
        <w:t xml:space="preserve">daos_user</w:t>
      </w:r>
      <w:r>
        <w:t xml:space="preserve"> </w:t>
      </w:r>
      <w:r>
        <w:t xml:space="preserve">to have read-write access.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A:G:project_users@:tc</w:t>
      </w:r>
    </w:p>
    <w:p>
      <w:pPr>
        <w:numPr>
          <w:ilvl w:val="1"/>
          <w:numId w:val="1005"/>
        </w:numPr>
        <w:pStyle w:val="Compact"/>
      </w:pPr>
      <w:r>
        <w:t xml:space="preserve">Allow anyone in the UNIX group</w:t>
      </w:r>
      <w:r>
        <w:t xml:space="preserve"> </w:t>
      </w:r>
      <w:r>
        <w:rPr>
          <w:rStyle w:val="VerbatimChar"/>
        </w:rPr>
        <w:t xml:space="preserve">project_users</w:t>
      </w:r>
      <w:r>
        <w:t xml:space="preserve"> </w:t>
      </w:r>
      <w:r>
        <w:t xml:space="preserve">to access a pool’s</w:t>
      </w:r>
      <w:r>
        <w:t xml:space="preserve"> </w:t>
      </w:r>
      <w:r>
        <w:t xml:space="preserve">contents and create containers.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A::OWNER@:rwdtTaAo</w:t>
      </w:r>
    </w:p>
    <w:p>
      <w:pPr>
        <w:numPr>
          <w:ilvl w:val="1"/>
          <w:numId w:val="1006"/>
        </w:numPr>
        <w:pStyle w:val="Compact"/>
      </w:pPr>
      <w:r>
        <w:t xml:space="preserve">Allow the UNIX user who owns the container to have full control.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A:G:GROUP@:rwdtT</w:t>
      </w:r>
    </w:p>
    <w:p>
      <w:pPr>
        <w:numPr>
          <w:ilvl w:val="1"/>
          <w:numId w:val="1007"/>
        </w:numPr>
        <w:pStyle w:val="Compact"/>
      </w:pPr>
      <w:r>
        <w:t xml:space="preserve">Allow the UNIX group that owns the container to read and write data, delete</w:t>
      </w:r>
      <w:r>
        <w:t xml:space="preserve"> </w:t>
      </w:r>
      <w:r>
        <w:t xml:space="preserve">the container, and manipulate container properties.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A::EVERYONE@:r</w:t>
      </w:r>
    </w:p>
    <w:p>
      <w:pPr>
        <w:numPr>
          <w:ilvl w:val="1"/>
          <w:numId w:val="1008"/>
        </w:numPr>
        <w:pStyle w:val="Compact"/>
      </w:pPr>
      <w:r>
        <w:t xml:space="preserve">Allow any user not covered by other rules to have read-only access.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A::daos_user@:</w:t>
      </w:r>
    </w:p>
    <w:p>
      <w:pPr>
        <w:numPr>
          <w:ilvl w:val="1"/>
          <w:numId w:val="1009"/>
        </w:numPr>
        <w:pStyle w:val="Compact"/>
      </w:pPr>
      <w:r>
        <w:t xml:space="preserve">Deny the UNIX user named</w:t>
      </w:r>
      <w:r>
        <w:t xml:space="preserve"> </w:t>
      </w:r>
      <w:r>
        <w:rPr>
          <w:rStyle w:val="VerbatimChar"/>
        </w:rPr>
        <w:t xml:space="preserve">daos_user</w:t>
      </w:r>
      <w:r>
        <w:t xml:space="preserve"> </w:t>
      </w:r>
      <w:r>
        <w:t xml:space="preserve">any access to the resource.</w:t>
      </w:r>
    </w:p>
    <w:p>
      <w:pPr>
        <w:pStyle w:val="Heading4"/>
      </w:pPr>
      <w:bookmarkStart w:id="36" w:name="enforcement"/>
      <w:r>
        <w:t xml:space="preserve">Enforcement</w:t>
      </w:r>
      <w:bookmarkEnd w:id="36"/>
    </w:p>
    <w:p>
      <w:pPr>
        <w:pStyle w:val="FirstParagraph"/>
      </w:pPr>
      <w:r>
        <w:t xml:space="preserve">Access Control Entries (ACEs) will be enforced in the following order:</w:t>
      </w:r>
    </w:p>
    <w:p>
      <w:pPr>
        <w:numPr>
          <w:ilvl w:val="0"/>
          <w:numId w:val="1010"/>
        </w:numPr>
        <w:pStyle w:val="Compact"/>
      </w:pPr>
      <w:r>
        <w:t xml:space="preserve">Owner-User</w:t>
      </w:r>
    </w:p>
    <w:p>
      <w:pPr>
        <w:numPr>
          <w:ilvl w:val="0"/>
          <w:numId w:val="1010"/>
        </w:numPr>
        <w:pStyle w:val="Compact"/>
      </w:pPr>
      <w:r>
        <w:t xml:space="preserve">Named users</w:t>
      </w:r>
    </w:p>
    <w:p>
      <w:pPr>
        <w:numPr>
          <w:ilvl w:val="0"/>
          <w:numId w:val="1010"/>
        </w:numPr>
        <w:pStyle w:val="Compact"/>
      </w:pPr>
      <w:r>
        <w:t xml:space="preserve">Owner-Group and named groups</w:t>
      </w:r>
    </w:p>
    <w:p>
      <w:pPr>
        <w:numPr>
          <w:ilvl w:val="0"/>
          <w:numId w:val="1010"/>
        </w:numPr>
        <w:pStyle w:val="Compact"/>
      </w:pPr>
      <w:r>
        <w:t xml:space="preserve">Everyone</w:t>
      </w:r>
    </w:p>
    <w:p>
      <w:pPr>
        <w:pStyle w:val="FirstParagraph"/>
      </w:pPr>
      <w:r>
        <w:t xml:space="preserve">In general, enforcement will be based on the first match, ignoring</w:t>
      </w:r>
      <w:r>
        <w:t xml:space="preserve"> </w:t>
      </w:r>
      <w:r>
        <w:t xml:space="preserve">lower-priority entries.</w:t>
      </w:r>
    </w:p>
    <w:p>
      <w:pPr>
        <w:pStyle w:val="BodyText"/>
      </w:pPr>
      <w:r>
        <w:t xml:space="preserve">If the user is the owner of the resource and there is an</w:t>
      </w:r>
      <w:r>
        <w:t xml:space="preserve"> </w:t>
      </w:r>
      <w:r>
        <w:rPr>
          <w:rStyle w:val="VerbatimChar"/>
        </w:rPr>
        <w:t xml:space="preserve">OWNER@</w:t>
      </w:r>
      <w:r>
        <w:t xml:space="preserve"> </w:t>
      </w:r>
      <w:r>
        <w:t xml:space="preserve">entry, they</w:t>
      </w:r>
      <w:r>
        <w:t xml:space="preserve"> </w:t>
      </w:r>
      <w:r>
        <w:t xml:space="preserve">will receive the owner permissions only. They will not receive any of the</w:t>
      </w:r>
      <w:r>
        <w:t xml:space="preserve"> </w:t>
      </w:r>
      <w:r>
        <w:t xml:space="preserve">permissions in the named user/group entries, even if they would match those</w:t>
      </w:r>
      <w:r>
        <w:t xml:space="preserve"> </w:t>
      </w:r>
      <w:r>
        <w:t xml:space="preserve">other entries.</w:t>
      </w:r>
    </w:p>
    <w:p>
      <w:pPr>
        <w:pStyle w:val="BodyText"/>
      </w:pPr>
      <w:r>
        <w:t xml:space="preserve">If the user isn’t the owner, or there is no</w:t>
      </w:r>
      <w:r>
        <w:t xml:space="preserve"> </w:t>
      </w:r>
      <w:r>
        <w:rPr>
          <w:rStyle w:val="VerbatimChar"/>
        </w:rPr>
        <w:t xml:space="preserve">OWNER@</w:t>
      </w:r>
      <w:r>
        <w:t xml:space="preserve"> </w:t>
      </w:r>
      <w:r>
        <w:t xml:space="preserve">entry, but there is an ACE</w:t>
      </w:r>
      <w:r>
        <w:t xml:space="preserve"> </w:t>
      </w:r>
      <w:r>
        <w:t xml:space="preserve">for their user identity, they will receive the permissions for their user</w:t>
      </w:r>
      <w:r>
        <w:t xml:space="preserve"> </w:t>
      </w:r>
      <w:r>
        <w:t xml:space="preserve">identity only. They will not receive the permissions for any of their</w:t>
      </w:r>
      <w:r>
        <w:t xml:space="preserve"> </w:t>
      </w:r>
      <w:r>
        <w:t xml:space="preserve">groups, even if those group entries have broader permissions than the user entry</w:t>
      </w:r>
      <w:r>
        <w:t xml:space="preserve"> </w:t>
      </w:r>
      <w:r>
        <w:t xml:space="preserve">does. The user is expected to match at most one user entry.</w:t>
      </w:r>
    </w:p>
    <w:p>
      <w:pPr>
        <w:pStyle w:val="BodyText"/>
      </w:pPr>
      <w:r>
        <w:t xml:space="preserve">If no matching user entry is found, but entries match one or more of the user’s</w:t>
      </w:r>
      <w:r>
        <w:t xml:space="preserve"> </w:t>
      </w:r>
      <w:r>
        <w:t xml:space="preserve">groups, enforcement will be based on the union of the permissions of all</w:t>
      </w:r>
      <w:r>
        <w:t xml:space="preserve"> </w:t>
      </w:r>
      <w:r>
        <w:t xml:space="preserve">matching groups, including the owner-group</w:t>
      </w:r>
      <w:r>
        <w:t xml:space="preserve"> </w:t>
      </w:r>
      <w:r>
        <w:rPr>
          <w:rStyle w:val="VerbatimChar"/>
        </w:rPr>
        <w:t xml:space="preserve">GROUP@</w:t>
      </w:r>
      <w:r>
        <w:t xml:space="preserve">.</w:t>
      </w:r>
    </w:p>
    <w:p>
      <w:pPr>
        <w:pStyle w:val="BodyText"/>
      </w:pPr>
      <w:r>
        <w:t xml:space="preserve">If no matching groups are found, the</w:t>
      </w:r>
      <w:r>
        <w:t xml:space="preserve"> </w:t>
      </w:r>
      <w:r>
        <w:rPr>
          <w:rStyle w:val="VerbatimChar"/>
        </w:rPr>
        <w:t xml:space="preserve">EVERYONE@</w:t>
      </w:r>
      <w:r>
        <w:t xml:space="preserve"> </w:t>
      </w:r>
      <w:r>
        <w:t xml:space="preserve">entry’s permissions will be</w:t>
      </w:r>
      <w:r>
        <w:t xml:space="preserve"> </w:t>
      </w:r>
      <w:r>
        <w:t xml:space="preserve">used, if it exists.</w:t>
      </w:r>
    </w:p>
    <w:p>
      <w:pPr>
        <w:pStyle w:val="BodyText"/>
      </w:pPr>
      <w:r>
        <w:t xml:space="preserve">By default, if a user matches no ACEs in the ACL list, access will be denied.</w:t>
      </w:r>
    </w:p>
    <w:p>
      <w:pPr>
        <w:pStyle w:val="Heading4"/>
      </w:pPr>
      <w:bookmarkStart w:id="37" w:name="acl-file"/>
      <w:r>
        <w:t xml:space="preserve">ACL File</w:t>
      </w:r>
      <w:bookmarkEnd w:id="37"/>
    </w:p>
    <w:p>
      <w:pPr>
        <w:pStyle w:val="FirstParagraph"/>
      </w:pPr>
      <w:r>
        <w:t xml:space="preserve">Tools that accept an ACL file expect it to be a simple text file with one ACE</w:t>
      </w:r>
      <w:r>
        <w:t xml:space="preserve"> </w:t>
      </w:r>
      <w:r>
        <w:t xml:space="preserve">on each line. A line may be marked as a comment by using a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as the first</w:t>
      </w:r>
      <w:r>
        <w:t xml:space="preserve"> </w:t>
      </w:r>
      <w:r>
        <w:t xml:space="preserve">non-whitespace character on the line.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# ACL for my container</w:t>
      </w:r>
      <w:r>
        <w:br/>
      </w:r>
      <w:r>
        <w:rPr>
          <w:rStyle w:val="VerbatimChar"/>
        </w:rPr>
        <w:t xml:space="preserve"># Owner can't touch data - just do admin-type things</w:t>
      </w:r>
      <w:r>
        <w:br/>
      </w:r>
      <w:r>
        <w:rPr>
          <w:rStyle w:val="VerbatimChar"/>
        </w:rPr>
        <w:t xml:space="preserve">A::OWNER@:dtTaAo</w:t>
      </w:r>
      <w:r>
        <w:br/>
      </w:r>
      <w:r>
        <w:rPr>
          <w:rStyle w:val="VerbatimChar"/>
        </w:rPr>
        <w:t xml:space="preserve"># My project's users can generate and access data</w:t>
      </w:r>
      <w:r>
        <w:br/>
      </w:r>
      <w:r>
        <w:rPr>
          <w:rStyle w:val="VerbatimChar"/>
        </w:rPr>
        <w:t xml:space="preserve">A:G:my_great_project@:rw</w:t>
      </w:r>
      <w:r>
        <w:br/>
      </w:r>
      <w:r>
        <w:rPr>
          <w:rStyle w:val="VerbatimChar"/>
        </w:rPr>
        <w:t xml:space="preserve"># Bob can use the data to generate a report</w:t>
      </w:r>
      <w:r>
        <w:br/>
      </w:r>
      <w:r>
        <w:rPr>
          <w:rStyle w:val="VerbatimChar"/>
        </w:rPr>
        <w:t xml:space="preserve">A::bob@:r</w:t>
      </w:r>
    </w:p>
    <w:p>
      <w:pPr>
        <w:pStyle w:val="FirstParagraph"/>
      </w:pPr>
      <w:r>
        <w:t xml:space="preserve">The permission bits and the ACEs themselves don’t need to be in any</w:t>
      </w:r>
      <w:r>
        <w:t xml:space="preserve"> </w:t>
      </w:r>
      <w:r>
        <w:t xml:space="preserve">specific order. However the order may be different when the resulting ACL is</w:t>
      </w:r>
      <w:r>
        <w:t xml:space="preserve"> </w:t>
      </w:r>
      <w:r>
        <w:t xml:space="preserve">parsed and displayed by DAOS.</w:t>
      </w:r>
    </w:p>
    <w:p>
      <w:pPr>
        <w:pStyle w:val="Heading4"/>
      </w:pPr>
      <w:bookmarkStart w:id="38" w:name="limitations"/>
      <w:r>
        <w:t xml:space="preserve">Limitations</w:t>
      </w:r>
      <w:bookmarkEnd w:id="38"/>
    </w:p>
    <w:p>
      <w:pPr>
        <w:pStyle w:val="FirstParagraph"/>
      </w:pPr>
      <w:r>
        <w:t xml:space="preserve">The maximum size of the ACE list in a DAOS ACL internal data structure is 64KiB.</w:t>
      </w:r>
    </w:p>
    <w:p>
      <w:pPr>
        <w:pStyle w:val="BodyText"/>
      </w:pPr>
      <w:r>
        <w:t xml:space="preserve">To calculate the internal data size of an ACL, use the following formula for</w:t>
      </w:r>
      <w:r>
        <w:t xml:space="preserve"> </w:t>
      </w:r>
      <w:r>
        <w:t xml:space="preserve">each ACE:</w:t>
      </w:r>
    </w:p>
    <w:p>
      <w:pPr>
        <w:numPr>
          <w:ilvl w:val="0"/>
          <w:numId w:val="1011"/>
        </w:numPr>
        <w:pStyle w:val="Compact"/>
      </w:pPr>
      <w:r>
        <w:t xml:space="preserve">The base size of an ACE is 256 Bytes.</w:t>
      </w:r>
    </w:p>
    <w:p>
      <w:pPr>
        <w:numPr>
          <w:ilvl w:val="0"/>
          <w:numId w:val="1011"/>
        </w:numPr>
        <w:pStyle w:val="Compact"/>
      </w:pPr>
      <w:r>
        <w:t xml:space="preserve">If the ACE principal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one of the special principals:</w:t>
      </w:r>
    </w:p>
    <w:p>
      <w:pPr>
        <w:numPr>
          <w:ilvl w:val="1"/>
          <w:numId w:val="1012"/>
        </w:numPr>
        <w:pStyle w:val="Compact"/>
      </w:pPr>
      <w:r>
        <w:t xml:space="preserve">Add the length of the principal string + 1.</w:t>
      </w:r>
    </w:p>
    <w:p>
      <w:pPr>
        <w:numPr>
          <w:ilvl w:val="1"/>
          <w:numId w:val="1012"/>
        </w:numPr>
        <w:pStyle w:val="Compact"/>
      </w:pPr>
      <w:r>
        <w:t xml:space="preserve">If that value is not 64-Byte aligned, round up to the nearest 64-Byte</w:t>
      </w:r>
      <w:r>
        <w:t xml:space="preserve"> </w:t>
      </w:r>
      <w:r>
        <w:t xml:space="preserve">boundary.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aos-stack.github.io/admin/deployment/#certificate-configuration" TargetMode="External" /><Relationship Type="http://schemas.openxmlformats.org/officeDocument/2006/relationships/hyperlink" Id="rId21" Target="https://tools.ietf.org/html/rfc5040#section-8.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aos-stack.github.io/admin/deployment/#certificate-configuration" TargetMode="External" /><Relationship Type="http://schemas.openxmlformats.org/officeDocument/2006/relationships/hyperlink" Id="rId21" Target="https://tools.ietf.org/html/rfc5040#section-8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2021-03-19T14:16:19Z</dcterms:created>
  <dcterms:modified xsi:type="dcterms:W3CDTF">2021-03-19T14:16:19Z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