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orage-model"/>
      <w:r>
        <w:t xml:space="preserve">Storage Model</w:t>
      </w:r>
      <w:bookmarkEnd w:id="20"/>
    </w:p>
    <w:p>
      <w:pPr>
        <w:pStyle w:val="Heading2"/>
      </w:pPr>
      <w:bookmarkStart w:id="21" w:name="overview"/>
      <w:r>
        <w:t xml:space="preserve">Overview</w:t>
      </w:r>
      <w:bookmarkEnd w:id="2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figure</w:t>
      </w:r>
      <w:r>
        <w:t xml:space="preserve"> </w:t>
      </w:r>
      <w:r>
        <w:t xml:space="preserve"> </w:t>
      </w:r>
      <w:r>
        <w:t xml:space="preserve">below represents the fundamental abstractions</w:t>
      </w:r>
      <w:r>
        <w:t xml:space="preserve"> </w:t>
      </w:r>
      <w:r>
        <w:t xml:space="preserve">of the DAOS storage model.</w:t>
      </w:r>
    </w:p>
    <w:p>
      <w:pPr>
        <w:pStyle w:val="BodyText"/>
      </w:pPr>
      <w:r>
        <w:t xml:space="preserve"> </w:t>
      </w:r>
      <w:r>
        <w:drawing>
          <wp:inline>
            <wp:extent cx="5334000" cy="2585963"/>
            <wp:effectExtent b="0" l="0" r="0" t="0"/>
            <wp:docPr descr="../graph/daos_abstractions.png" title="DAOS Storage Abstractions" id="1" name="Picture"/>
            <a:graphic>
              <a:graphicData uri="http://schemas.openxmlformats.org/drawingml/2006/picture">
                <pic:pic>
                  <pic:nvPicPr>
                    <pic:cNvPr descr="../graph/daos_abstraction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5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DAOS</w:t>
      </w:r>
      <w:r>
        <w:t xml:space="preserve"> </w:t>
      </w:r>
      <w:r>
        <w:rPr>
          <w:i/>
        </w:rPr>
        <w:t xml:space="preserve">pool</w:t>
      </w:r>
      <w:r>
        <w:t xml:space="preserve"> </w:t>
      </w:r>
      <w:r>
        <w:t xml:space="preserve">is a storage reservation distributed across a collection of</w:t>
      </w:r>
      <w:r>
        <w:t xml:space="preserve"> </w:t>
      </w:r>
      <w:r>
        <w:rPr>
          <w:i/>
        </w:rPr>
        <w:t xml:space="preserve">targets</w:t>
      </w:r>
      <w:r>
        <w:t xml:space="preserve">.</w:t>
      </w:r>
      <w:r>
        <w:t xml:space="preserve"> </w:t>
      </w:r>
      <w:r>
        <w:t xml:space="preserve">The actual space allocated to the pool on each target is called a</w:t>
      </w:r>
      <w:r>
        <w:t xml:space="preserve"> </w:t>
      </w:r>
      <w:r>
        <w:rPr>
          <w:i/>
        </w:rPr>
        <w:t xml:space="preserve">pool shard</w:t>
      </w:r>
      <w:r>
        <w:t xml:space="preserve">.</w:t>
      </w:r>
      <w:r>
        <w:t xml:space="preserve"> </w:t>
      </w:r>
      <w:r>
        <w:t xml:space="preserve">The total space allocated to a pool is decided at creation time. It can be</w:t>
      </w:r>
      <w:r>
        <w:t xml:space="preserve"> </w:t>
      </w:r>
      <w:r>
        <w:t xml:space="preserve">expanded over time by resizing all the pool shards (within the limit of the</w:t>
      </w:r>
      <w:r>
        <w:t xml:space="preserve"> </w:t>
      </w:r>
      <w:r>
        <w:t xml:space="preserve">storage capacity dedicated to each target), or by spanning more targets</w:t>
      </w:r>
      <w:r>
        <w:t xml:space="preserve"> </w:t>
      </w:r>
      <w:r>
        <w:t xml:space="preserve">(adding more pool shards). A pool offers storage virtualization and is</w:t>
      </w:r>
      <w:r>
        <w:t xml:space="preserve"> </w:t>
      </w:r>
      <w:r>
        <w:t xml:space="preserve">the unit of provisioning and isolation. DAOS pools cannot span across multiple</w:t>
      </w:r>
      <w:r>
        <w:t xml:space="preserve"> </w:t>
      </w:r>
      <w:r>
        <w:t xml:space="preserve">systems.</w:t>
      </w:r>
    </w:p>
    <w:p>
      <w:pPr>
        <w:pStyle w:val="BodyText"/>
      </w:pPr>
      <w:r>
        <w:t xml:space="preserve">A pool can host multiple transactional object stores called DAOS</w:t>
      </w:r>
      <w:r>
        <w:t xml:space="preserve"> </w:t>
      </w:r>
      <w:r>
        <w:rPr>
          <w:i/>
        </w:rPr>
        <w:t xml:space="preserve">containers</w:t>
      </w:r>
      <w:r>
        <w:t xml:space="preserve">.</w:t>
      </w:r>
      <w:r>
        <w:t xml:space="preserve"> </w:t>
      </w:r>
      <w:r>
        <w:t xml:space="preserve">Each container is a private object address space, which can be modified</w:t>
      </w:r>
      <w:r>
        <w:t xml:space="preserve"> </w:t>
      </w:r>
      <w:r>
        <w:t xml:space="preserve">transactionally and independently of the other containers stored in the</w:t>
      </w:r>
      <w:r>
        <w:t xml:space="preserve"> </w:t>
      </w:r>
      <w:r>
        <w:t xml:space="preserve">same pool. A container is the unit of snapshot and data management.</w:t>
      </w:r>
      <w:r>
        <w:t xml:space="preserve"> </w:t>
      </w:r>
      <w:r>
        <w:t xml:space="preserve">DAOS objects belonging to a container can be distributed across any target</w:t>
      </w:r>
      <w:r>
        <w:t xml:space="preserve"> </w:t>
      </w:r>
      <w:r>
        <w:t xml:space="preserve">of the pool for both performance and resilience and can be accessed through</w:t>
      </w:r>
      <w:r>
        <w:t xml:space="preserve"> </w:t>
      </w:r>
      <w:r>
        <w:t xml:space="preserve">different APIs to represent structured, semi-structured and unstructured</w:t>
      </w:r>
      <w:r>
        <w:t xml:space="preserve"> </w:t>
      </w:r>
      <w:r>
        <w:t xml:space="preserve">data efficiently</w:t>
      </w:r>
    </w:p>
    <w:p>
      <w:pPr>
        <w:pStyle w:val="BodyText"/>
      </w:pPr>
      <w:r>
        <w:t xml:space="preserve">The table below shows the targeted level of scalability for each DAOS concept.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DAOS Concept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Scalability (Order of Magnitude)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  <w:r>
              <w:t xml:space="preserve">5</w:t>
            </w:r>
            <w:r>
              <w:t xml:space="preserve"> </w:t>
            </w:r>
            <w:r>
              <w:t xml:space="preserve">Servers (hundreds of thousands) and 10</w:t>
            </w:r>
            <w:r>
              <w:t xml:space="preserve">2</w:t>
            </w:r>
            <w:r>
              <w:t xml:space="preserve"> </w:t>
            </w:r>
            <w:r>
              <w:t xml:space="preserve">Pools (hundreds)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  <w:r>
              <w:t xml:space="preserve">1</w:t>
            </w:r>
            <w:r>
              <w:t xml:space="preserve"> </w:t>
            </w:r>
            <w:r>
              <w:t xml:space="preserve">Targets (tens)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Pool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  <w:r>
              <w:t xml:space="preserve">2</w:t>
            </w:r>
            <w:r>
              <w:t xml:space="preserve"> </w:t>
            </w:r>
            <w:r>
              <w:t xml:space="preserve">Containers (hundreds)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  <w:r>
              <w:t xml:space="preserve">9</w:t>
            </w:r>
            <w:r>
              <w:t xml:space="preserve"> </w:t>
            </w:r>
            <w:r>
              <w:t xml:space="preserve">Objects (billions)</w:t>
            </w:r>
          </w:p>
        </w:tc>
      </w:tr>
    </w:tbl>
    <w:p>
      <w:pPr>
        <w:pStyle w:val="Heading2"/>
      </w:pPr>
      <w:bookmarkStart w:id="23" w:name="daos-pool"/>
      <w:r>
        <w:t xml:space="preserve">DAOS Pool</w:t>
      </w:r>
      <w:bookmarkEnd w:id="23"/>
    </w:p>
    <w:p>
      <w:pPr>
        <w:pStyle w:val="FirstParagraph"/>
      </w:pPr>
      <w:r>
        <w:t xml:space="preserve">A pool is identified by a unique</w:t>
      </w:r>
      <w:r>
        <w:t xml:space="preserve"> </w:t>
      </w:r>
      <w:r>
        <w:rPr>
          <w:i/>
        </w:rPr>
        <w:t xml:space="preserve">pool UUID</w:t>
      </w:r>
      <w:r>
        <w:t xml:space="preserve"> </w:t>
      </w:r>
      <w:r>
        <w:t xml:space="preserve">and maintains target memberships</w:t>
      </w:r>
      <w:r>
        <w:t xml:space="preserve"> </w:t>
      </w:r>
      <w:r>
        <w:t xml:space="preserve">in a persistent versioned list called the</w:t>
      </w:r>
      <w:r>
        <w:t xml:space="preserve"> </w:t>
      </w:r>
      <w:r>
        <w:rPr>
          <w:i/>
        </w:rPr>
        <w:t xml:space="preserve">pool map</w:t>
      </w:r>
      <w:r>
        <w:t xml:space="preserve">. The membership is definitive</w:t>
      </w:r>
      <w:r>
        <w:t xml:space="preserve"> </w:t>
      </w:r>
      <w:r>
        <w:t xml:space="preserve">and consistent, and membership changes are sequentially numbered.</w:t>
      </w:r>
      <w:r>
        <w:t xml:space="preserve"> </w:t>
      </w:r>
      <w:r>
        <w:t xml:space="preserve">The pool map not only records the list of active targets, it also contains</w:t>
      </w:r>
      <w:r>
        <w:t xml:space="preserve"> </w:t>
      </w:r>
      <w:r>
        <w:t xml:space="preserve">the storage topology in the form of a tree that is used to identify targets</w:t>
      </w:r>
      <w:r>
        <w:t xml:space="preserve"> </w:t>
      </w:r>
      <w:r>
        <w:t xml:space="preserve">sharing common hardware components. For instance, the first level of the tree</w:t>
      </w:r>
      <w:r>
        <w:t xml:space="preserve"> </w:t>
      </w:r>
      <w:r>
        <w:t xml:space="preserve">can represent targets sharing the same motherboard, and then the second level</w:t>
      </w:r>
      <w:r>
        <w:t xml:space="preserve"> </w:t>
      </w:r>
      <w:r>
        <w:t xml:space="preserve">can represent all motherboards sharing the same rack and finally the third</w:t>
      </w:r>
      <w:r>
        <w:t xml:space="preserve"> </w:t>
      </w:r>
      <w:r>
        <w:t xml:space="preserve">level can represent all racks in the same cage. This framework effectively</w:t>
      </w:r>
      <w:r>
        <w:t xml:space="preserve"> </w:t>
      </w:r>
      <w:r>
        <w:t xml:space="preserve">represents hierarchical fault domains, which are then used to avoid placing</w:t>
      </w:r>
      <w:r>
        <w:t xml:space="preserve"> </w:t>
      </w:r>
      <w:r>
        <w:t xml:space="preserve">redundant data on targets subject to correlated failures. At any point in</w:t>
      </w:r>
      <w:r>
        <w:t xml:space="preserve"> </w:t>
      </w:r>
      <w:r>
        <w:t xml:space="preserve">time, new targets can be added to the pool map, and failed targets can be</w:t>
      </w:r>
      <w:r>
        <w:t xml:space="preserve"> </w:t>
      </w:r>
      <w:r>
        <w:t xml:space="preserve">excluded. Moreover, the pool map is fully versioned, which effectively</w:t>
      </w:r>
      <w:r>
        <w:t xml:space="preserve"> </w:t>
      </w:r>
      <w:r>
        <w:t xml:space="preserve">assigns a unique sequence to each modification of the map, particularly</w:t>
      </w:r>
      <w:r>
        <w:t xml:space="preserve"> </w:t>
      </w:r>
      <w:r>
        <w:t xml:space="preserve">for failed node removal.</w:t>
      </w:r>
    </w:p>
    <w:p>
      <w:pPr>
        <w:pStyle w:val="BodyText"/>
      </w:pPr>
      <w:r>
        <w:t xml:space="preserve">A pool shard is a reservation of persistent memory optionally combined with</w:t>
      </w:r>
      <w:r>
        <w:t xml:space="preserve"> </w:t>
      </w:r>
      <w:r>
        <w:t xml:space="preserve">a pre-allocated space on NVMe storage on a specific target. It has a fixed</w:t>
      </w:r>
      <w:r>
        <w:t xml:space="preserve"> </w:t>
      </w:r>
      <w:r>
        <w:t xml:space="preserve">capacity and fails operations when full. Current space usage can be queried</w:t>
      </w:r>
      <w:r>
        <w:t xml:space="preserve"> </w:t>
      </w:r>
      <w:r>
        <w:t xml:space="preserve">at any time and reports the total amount of bytes used by any data type</w:t>
      </w:r>
      <w:r>
        <w:t xml:space="preserve"> </w:t>
      </w:r>
      <w:r>
        <w:t xml:space="preserve">stored in the pool shard.</w:t>
      </w:r>
    </w:p>
    <w:p>
      <w:pPr>
        <w:pStyle w:val="BodyText"/>
      </w:pPr>
      <w:r>
        <w:t xml:space="preserve">Upon target failure and exclusion from the pool map, data redundancy inside</w:t>
      </w:r>
      <w:r>
        <w:t xml:space="preserve"> </w:t>
      </w:r>
      <w:r>
        <w:t xml:space="preserve">the pool is automatically restored online. This self-healing process is</w:t>
      </w:r>
      <w:r>
        <w:t xml:space="preserve"> </w:t>
      </w:r>
      <w:r>
        <w:t xml:space="preserve">known as</w:t>
      </w:r>
      <w:r>
        <w:t xml:space="preserve"> </w:t>
      </w:r>
      <w:r>
        <w:rPr>
          <w:i/>
        </w:rPr>
        <w:t xml:space="preserve">rebuild</w:t>
      </w:r>
      <w:r>
        <w:t xml:space="preserve">. Rebuild progress is recorded regularly in special logs</w:t>
      </w:r>
      <w:r>
        <w:t xml:space="preserve"> </w:t>
      </w:r>
      <w:r>
        <w:t xml:space="preserve">in the pool stored in persistent memory to address cascading failures.</w:t>
      </w:r>
      <w:r>
        <w:t xml:space="preserve"> </w:t>
      </w:r>
      <w:r>
        <w:t xml:space="preserve">When new targets are added, data is automatically migrated to the newly</w:t>
      </w:r>
      <w:r>
        <w:t xml:space="preserve"> </w:t>
      </w:r>
      <w:r>
        <w:t xml:space="preserve">added targets to redistribute space usage equally among all the members.</w:t>
      </w:r>
      <w:r>
        <w:t xml:space="preserve"> </w:t>
      </w:r>
      <w:r>
        <w:t xml:space="preserve">This process is known as</w:t>
      </w:r>
      <w:r>
        <w:t xml:space="preserve"> </w:t>
      </w:r>
      <w:r>
        <w:rPr>
          <w:i/>
        </w:rPr>
        <w:t xml:space="preserve">space rebalancing</w:t>
      </w:r>
      <w:r>
        <w:t xml:space="preserve"> </w:t>
      </w:r>
      <w:r>
        <w:t xml:space="preserve">and uses dedicated persistent</w:t>
      </w:r>
      <w:r>
        <w:t xml:space="preserve"> </w:t>
      </w:r>
      <w:r>
        <w:t xml:space="preserve">logs as well to support interruption and restart. A pool is a set of targets</w:t>
      </w:r>
      <w:r>
        <w:t xml:space="preserve"> </w:t>
      </w:r>
      <w:r>
        <w:t xml:space="preserve">spread across different storage nodes over which data and metadata are</w:t>
      </w:r>
      <w:r>
        <w:t xml:space="preserve"> </w:t>
      </w:r>
      <w:r>
        <w:t xml:space="preserve">distributed to achieve horizontal scalability, and replicated or</w:t>
      </w:r>
      <w:r>
        <w:t xml:space="preserve"> </w:t>
      </w:r>
      <w:r>
        <w:t xml:space="preserve">erasure-coded to ensure durability and availability.</w:t>
      </w:r>
    </w:p>
    <w:p>
      <w:pPr>
        <w:pStyle w:val="BodyText"/>
      </w:pPr>
      <w:r>
        <w:t xml:space="preserve">When creating a pool, a set of system properties must be defined to</w:t>
      </w:r>
      <w:r>
        <w:t xml:space="preserve"> </w:t>
      </w:r>
      <w:r>
        <w:t xml:space="preserve">configure the different features supported by the pool. Also, users can</w:t>
      </w:r>
      <w:r>
        <w:t xml:space="preserve"> </w:t>
      </w:r>
      <w:r>
        <w:t xml:space="preserve">define their attributes that will be stored persistently.</w:t>
      </w:r>
    </w:p>
    <w:p>
      <w:pPr>
        <w:pStyle w:val="BodyText"/>
      </w:pPr>
      <w:r>
        <w:t xml:space="preserve">A pool is only accessible to authenticated and authorized applications.</w:t>
      </w:r>
      <w:r>
        <w:t xml:space="preserve"> </w:t>
      </w:r>
      <w:r>
        <w:t xml:space="preserve">Multiple security frameworks could be supported, from NFSv4 access control</w:t>
      </w:r>
      <w:r>
        <w:t xml:space="preserve"> </w:t>
      </w:r>
      <w:r>
        <w:t xml:space="preserve">lists to third party-based authentication (such as Kerberos). Security is</w:t>
      </w:r>
      <w:r>
        <w:t xml:space="preserve"> </w:t>
      </w:r>
      <w:r>
        <w:t xml:space="preserve">enforced when connecting to the pool. Upon successful connection to the pool,</w:t>
      </w:r>
      <w:r>
        <w:t xml:space="preserve"> </w:t>
      </w:r>
      <w:r>
        <w:t xml:space="preserve">a connection context is returned to the application process.</w:t>
      </w:r>
    </w:p>
    <w:p>
      <w:pPr>
        <w:pStyle w:val="BodyText"/>
      </w:pPr>
      <w:r>
        <w:t xml:space="preserve">As detailed previously, a pool stores many different sorts of persistent</w:t>
      </w:r>
      <w:r>
        <w:t xml:space="preserve"> </w:t>
      </w:r>
      <w:r>
        <w:t xml:space="preserve">metadata, such as the pool map, authentication and authorization</w:t>
      </w:r>
      <w:r>
        <w:t xml:space="preserve"> </w:t>
      </w:r>
      <w:r>
        <w:t xml:space="preserve">information, user attributes, properties, and rebuild logs. Such metadata</w:t>
      </w:r>
      <w:r>
        <w:t xml:space="preserve"> </w:t>
      </w:r>
      <w:r>
        <w:t xml:space="preserve">is critical and requires the highest level of resiliency. Therefore,</w:t>
      </w:r>
      <w:r>
        <w:t xml:space="preserve"> </w:t>
      </w:r>
      <w:r>
        <w:t xml:space="preserve">the pool metadata is replicated on a few nodes from distinct high-level</w:t>
      </w:r>
      <w:r>
        <w:t xml:space="preserve"> </w:t>
      </w:r>
      <w:r>
        <w:t xml:space="preserve">fault domains. For very large configurations with hundreds of thousands of</w:t>
      </w:r>
      <w:r>
        <w:t xml:space="preserve"> </w:t>
      </w:r>
      <w:r>
        <w:t xml:space="preserve">storage nodes, only a very small fraction of those nodes (in the order of tens)</w:t>
      </w:r>
      <w:r>
        <w:t xml:space="preserve"> </w:t>
      </w:r>
      <w:r>
        <w:t xml:space="preserve">run the</w:t>
      </w:r>
      <w:r>
        <w:t xml:space="preserve"> </w:t>
      </w:r>
      <w:r>
        <w:rPr>
          <w:i/>
        </w:rPr>
        <w:t xml:space="preserve">pool metadata service</w:t>
      </w:r>
      <w:r>
        <w:t xml:space="preserve">. With a limited number of storage nodes, DAOS can</w:t>
      </w:r>
      <w:r>
        <w:t xml:space="preserve"> </w:t>
      </w:r>
      <w:r>
        <w:t xml:space="preserve">afford to rely on a consensus algorithm to reach agreement, to guarantee</w:t>
      </w:r>
      <w:r>
        <w:t xml:space="preserve"> </w:t>
      </w:r>
      <w:r>
        <w:t xml:space="preserve">consistency in the presence of faults, and to avoid the split-brain syndrome.</w:t>
      </w:r>
    </w:p>
    <w:p>
      <w:pPr>
        <w:pStyle w:val="BodyText"/>
      </w:pPr>
      <w:r>
        <w:t xml:space="preserve">To access a pool, a user process should connect to this pool and pass the</w:t>
      </w:r>
      <w:r>
        <w:t xml:space="preserve"> </w:t>
      </w:r>
      <w:r>
        <w:t xml:space="preserve">security checks. Once granted, a pool connection can be shared</w:t>
      </w:r>
      <w:r>
        <w:t xml:space="preserve"> </w:t>
      </w:r>
      <w:r>
        <w:t xml:space="preserve">(via</w:t>
      </w:r>
      <w:r>
        <w:t xml:space="preserve"> </w:t>
      </w:r>
      <w:r>
        <w:rPr>
          <w:rStyle w:val="VerbatimChar"/>
        </w:rPr>
        <w:t xml:space="preserve">local2global()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global2local()</w:t>
      </w:r>
      <w:r>
        <w:t xml:space="preserve"> </w:t>
      </w:r>
      <w:r>
        <w:t xml:space="preserve">operations) with any or all of its</w:t>
      </w:r>
      <w:r>
        <w:t xml:space="preserve"> </w:t>
      </w:r>
      <w:r>
        <w:t xml:space="preserve">peer application processes (similar to the</w:t>
      </w:r>
      <w:r>
        <w:t xml:space="preserve"> </w:t>
      </w:r>
      <w:r>
        <w:rPr>
          <w:rStyle w:val="VerbatimChar"/>
        </w:rPr>
        <w:t xml:space="preserve">openg()</w:t>
      </w:r>
      <w:r>
        <w:t xml:space="preserve"> </w:t>
      </w:r>
      <w:r>
        <w:t xml:space="preserve">POSIX extension).</w:t>
      </w:r>
      <w:r>
        <w:t xml:space="preserve"> </w:t>
      </w:r>
      <w:r>
        <w:t xml:space="preserve">This collective connect mechanism helps to avoid metadata request storm</w:t>
      </w:r>
      <w:r>
        <w:t xml:space="preserve"> </w:t>
      </w:r>
      <w:r>
        <w:t xml:space="preserve">when a massively distributed job is run on the datacenter.</w:t>
      </w:r>
      <w:r>
        <w:t xml:space="preserve"> </w:t>
      </w:r>
      <w:r>
        <w:t xml:space="preserve">A pool connection is revoked when the original process that issued</w:t>
      </w:r>
      <w:r>
        <w:t xml:space="preserve"> </w:t>
      </w:r>
      <w:r>
        <w:t xml:space="preserve">the connection request disconnects from the pool.</w:t>
      </w:r>
    </w:p>
    <w:p>
      <w:pPr>
        <w:pStyle w:val="BodyText"/>
      </w:pPr>
      <w:r>
        <w:t xml:space="preserve"> </w:t>
      </w:r>
      <w:r>
        <w:t xml:space="preserve">## DAOS Container</w:t>
      </w:r>
    </w:p>
    <w:p>
      <w:pPr>
        <w:pStyle w:val="BodyText"/>
      </w:pPr>
      <w:r>
        <w:t xml:space="preserve">A container represents an object address space inside a pool and is</w:t>
      </w:r>
      <w:r>
        <w:t xml:space="preserve"> </w:t>
      </w:r>
      <w:r>
        <w:t xml:space="preserve">identified by a</w:t>
      </w:r>
      <w:r>
        <w:t xml:space="preserve"> </w:t>
      </w:r>
      <w:r>
        <w:rPr>
          <w:i/>
        </w:rPr>
        <w:t xml:space="preserve">container UUID</w:t>
      </w:r>
      <w:r>
        <w:t xml:space="preserve">. The diagram below represents how the user</w:t>
      </w:r>
      <w:r>
        <w:t xml:space="preserve"> </w:t>
      </w:r>
      <w:r>
        <w:t xml:space="preserve">(I/O middleware, domain-specific data format, big data or AI</w:t>
      </w:r>
      <w:r>
        <w:t xml:space="preserve"> </w:t>
      </w:r>
      <w:r>
        <w:t xml:space="preserve">framework, …) could use the container concept to store related datasets.</w:t>
      </w:r>
    </w:p>
    <w:p>
      <w:pPr>
        <w:pStyle w:val="CaptionedFigure"/>
      </w:pPr>
      <w:r>
        <w:drawing>
          <wp:inline>
            <wp:extent cx="5334000" cy="2349270"/>
            <wp:effectExtent b="0" l="0" r="0" t="0"/>
            <wp:docPr descr="../graph/containers.png" title="DAOS Container Example" id="1" name="Picture"/>
            <a:graphic>
              <a:graphicData uri="http://schemas.openxmlformats.org/drawingml/2006/picture">
                <pic:pic>
                  <pic:nvPicPr>
                    <pic:cNvPr descr="../graph/contain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../graph/containers.png</w:t>
      </w:r>
    </w:p>
    <w:p>
      <w:pPr>
        <w:pStyle w:val="BodyText"/>
      </w:pPr>
      <w:r>
        <w:t xml:space="preserve">Like pools, containers can store user attributes. A set of properties</w:t>
      </w:r>
      <w:r>
        <w:t xml:space="preserve"> </w:t>
      </w:r>
      <w:r>
        <w:t xml:space="preserve">must be passed at container creation time to configure different features</w:t>
      </w:r>
      <w:r>
        <w:t xml:space="preserve"> </w:t>
      </w:r>
      <w:r>
        <w:t xml:space="preserve">like checksums.</w:t>
      </w:r>
    </w:p>
    <w:p>
      <w:pPr>
        <w:pStyle w:val="BodyText"/>
      </w:pPr>
      <w:r>
        <w:t xml:space="preserve">To access a container, an application must first connect to the pool and</w:t>
      </w:r>
      <w:r>
        <w:t xml:space="preserve"> </w:t>
      </w:r>
      <w:r>
        <w:t xml:space="preserve">then open the container. If the application is authorized to access the</w:t>
      </w:r>
      <w:r>
        <w:t xml:space="preserve"> </w:t>
      </w:r>
      <w:r>
        <w:t xml:space="preserve">container, a container handle is returned. This includes capabilities that</w:t>
      </w:r>
      <w:r>
        <w:t xml:space="preserve"> </w:t>
      </w:r>
      <w:r>
        <w:t xml:space="preserve">authorize any process in the application to access the container and its</w:t>
      </w:r>
      <w:r>
        <w:t xml:space="preserve"> </w:t>
      </w:r>
      <w:r>
        <w:t xml:space="preserve">contents. The opening process may share this handle with any or all of</w:t>
      </w:r>
      <w:r>
        <w:t xml:space="preserve"> </w:t>
      </w:r>
      <w:r>
        <w:t xml:space="preserve">its peers. Their capabilities are revoked on container close.</w:t>
      </w:r>
    </w:p>
    <w:p>
      <w:pPr>
        <w:pStyle w:val="BodyText"/>
      </w:pPr>
      <w:r>
        <w:t xml:space="preserve">Objects in a container may have different schemas for data distribution</w:t>
      </w:r>
      <w:r>
        <w:t xml:space="preserve"> </w:t>
      </w:r>
      <w:r>
        <w:t xml:space="preserve">and redundancy over targets. Dynamic or static striping, replication,</w:t>
      </w:r>
      <w:r>
        <w:t xml:space="preserve"> </w:t>
      </w:r>
      <w:r>
        <w:t xml:space="preserve">or erasure code are some parameters required to define the object schema.</w:t>
      </w:r>
      <w:r>
        <w:t xml:space="preserve"> </w:t>
      </w:r>
      <w:r>
        <w:t xml:space="preserve">The object class defines common schema attributes for a set of objects.</w:t>
      </w:r>
      <w:r>
        <w:t xml:space="preserve"> </w:t>
      </w:r>
      <w:r>
        <w:t xml:space="preserve">Each object class is assigned a unique identifier and is associated with</w:t>
      </w:r>
      <w:r>
        <w:t xml:space="preserve"> </w:t>
      </w:r>
      <w:r>
        <w:t xml:space="preserve">a given schema at the pool level. A new object class can be defined at any</w:t>
      </w:r>
      <w:r>
        <w:t xml:space="preserve"> </w:t>
      </w:r>
      <w:r>
        <w:t xml:space="preserve">time with a configurable schema, which is then immutable after creation</w:t>
      </w:r>
      <w:r>
        <w:t xml:space="preserve"> </w:t>
      </w:r>
      <w:r>
        <w:t xml:space="preserve">(or at least until all objects belonging to the class have been destroyed).</w:t>
      </w:r>
      <w:r>
        <w:t xml:space="preserve"> </w:t>
      </w:r>
      <w:r>
        <w:t xml:space="preserve">For convenience, several object classes that are expected to be the most</w:t>
      </w:r>
      <w:r>
        <w:t xml:space="preserve"> </w:t>
      </w:r>
      <w:r>
        <w:t xml:space="preserve">commonly used will be predefined by default when the pool is created,</w:t>
      </w:r>
      <w:r>
        <w:t xml:space="preserve"> </w:t>
      </w:r>
      <w:r>
        <w:t xml:space="preserve">as shown in the</w:t>
      </w:r>
      <w:r>
        <w:t xml:space="preserve"> </w:t>
      </w:r>
      <w:r>
        <w:t xml:space="preserve">table</w:t>
      </w:r>
      <w:r>
        <w:t xml:space="preserve"> </w:t>
      </w:r>
      <w:r>
        <w:t xml:space="preserve">below.</w:t>
      </w:r>
    </w:p>
    <w:p>
      <w:pPr>
        <w:pStyle w:val="BodyText"/>
      </w:pPr>
      <w:r>
        <w:t xml:space="preserve"> </w:t>
      </w:r>
      <w:r>
        <w:rPr>
          <w:b/>
        </w:rPr>
        <w:t xml:space="preserve">Sample of Pre-defined Object Classes</w:t>
      </w:r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 Class (RW = read/write, RM = read-mostly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Redundancy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Layout (SC = stripe count, RC = replica count, PC = parity count, TGT = target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 size &amp; RW</w:t>
            </w:r>
          </w:p>
        </w:tc>
        <w:tc>
          <w:p>
            <w:pPr>
              <w:pStyle w:val="Compact"/>
              <w:jc w:val="left"/>
            </w:pPr>
            <w:r>
              <w:t xml:space="preserve">Replication</w:t>
            </w:r>
          </w:p>
        </w:tc>
        <w:tc>
          <w:p>
            <w:pPr>
              <w:pStyle w:val="Compact"/>
              <w:jc w:val="left"/>
            </w:pPr>
            <w:r>
              <w:t xml:space="preserve">static SCxRC, e.g. 1x4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 size &amp; RM</w:t>
            </w:r>
          </w:p>
        </w:tc>
        <w:tc>
          <w:p>
            <w:pPr>
              <w:pStyle w:val="Compact"/>
              <w:jc w:val="left"/>
            </w:pPr>
            <w:r>
              <w:t xml:space="preserve">Erasure code</w:t>
            </w:r>
          </w:p>
        </w:tc>
        <w:tc>
          <w:p>
            <w:pPr>
              <w:pStyle w:val="Compact"/>
              <w:jc w:val="left"/>
            </w:pPr>
            <w:r>
              <w:t xml:space="preserve">static SC+PC, e.g. 4+2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 size &amp; RW</w:t>
            </w:r>
          </w:p>
        </w:tc>
        <w:tc>
          <w:p>
            <w:pPr>
              <w:pStyle w:val="Compact"/>
              <w:jc w:val="left"/>
            </w:pPr>
            <w:r>
              <w:t xml:space="preserve">Replication</w:t>
            </w:r>
          </w:p>
        </w:tc>
        <w:tc>
          <w:p>
            <w:pPr>
              <w:pStyle w:val="Compact"/>
              <w:jc w:val="left"/>
            </w:pPr>
            <w:r>
              <w:t xml:space="preserve">static SCxRC over max #targets)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 size &amp; RM</w:t>
            </w:r>
          </w:p>
        </w:tc>
        <w:tc>
          <w:p>
            <w:pPr>
              <w:pStyle w:val="Compact"/>
              <w:jc w:val="left"/>
            </w:pPr>
            <w:r>
              <w:t xml:space="preserve">Erasure code</w:t>
            </w:r>
          </w:p>
        </w:tc>
        <w:tc>
          <w:p>
            <w:pPr>
              <w:pStyle w:val="Compact"/>
              <w:jc w:val="left"/>
            </w:pPr>
            <w:r>
              <w:t xml:space="preserve">static SCx(SC+PC) w/ max #TGT)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Unknown size &amp; RW</w:t>
            </w:r>
          </w:p>
        </w:tc>
        <w:tc>
          <w:p>
            <w:pPr>
              <w:pStyle w:val="Compact"/>
              <w:jc w:val="left"/>
            </w:pPr>
            <w:r>
              <w:t xml:space="preserve">Replication</w:t>
            </w:r>
          </w:p>
        </w:tc>
        <w:tc>
          <w:p>
            <w:pPr>
              <w:pStyle w:val="Compact"/>
              <w:jc w:val="left"/>
            </w:pPr>
            <w:r>
              <w:t xml:space="preserve">SCxRC, e.g. 1x4 initially and grows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Unknown size &amp; RM</w:t>
            </w:r>
          </w:p>
        </w:tc>
        <w:tc>
          <w:p>
            <w:pPr>
              <w:pStyle w:val="Compact"/>
              <w:jc w:val="left"/>
            </w:pPr>
            <w:r>
              <w:t xml:space="preserve">Erasure code</w:t>
            </w:r>
          </w:p>
        </w:tc>
        <w:tc>
          <w:p>
            <w:pPr>
              <w:pStyle w:val="Compact"/>
              <w:jc w:val="left"/>
            </w:pPr>
            <w:r>
              <w:t xml:space="preserve">SC+PC, e.g. 4+2 initially and grows</w:t>
            </w:r>
          </w:p>
        </w:tc>
      </w:tr>
    </w:tbl>
    <w:p>
      <w:pPr>
        <w:pStyle w:val="BodyText"/>
      </w:pPr>
      <w:r>
        <w:t xml:space="preserve">As shown below, each object is identified in the container by a unique</w:t>
      </w:r>
      <w:r>
        <w:t xml:space="preserve"> </w:t>
      </w:r>
      <w:r>
        <w:t xml:space="preserve">128-bit</w:t>
      </w:r>
      <w:r>
        <w:t xml:space="preserve"> </w:t>
      </w:r>
      <w:r>
        <w:rPr>
          <w:i/>
        </w:rPr>
        <w:t xml:space="preserve">object address</w:t>
      </w:r>
      <w:r>
        <w:t xml:space="preserve">. The high 32 bits of the object address is reserved</w:t>
      </w:r>
      <w:r>
        <w:t xml:space="preserve"> </w:t>
      </w:r>
      <w:r>
        <w:t xml:space="preserve">for DAOS to encode internal metadata such as the object class.</w:t>
      </w:r>
      <w:r>
        <w:t xml:space="preserve"> </w:t>
      </w:r>
      <w:r>
        <w:t xml:space="preserve">The remaining 96 bits are managed by the user and should be unique inside</w:t>
      </w:r>
      <w:r>
        <w:t xml:space="preserve"> </w:t>
      </w:r>
      <w:r>
        <w:t xml:space="preserve">the container. Those bits can be used by upper layers of the stack to encode</w:t>
      </w:r>
      <w:r>
        <w:t xml:space="preserve"> </w:t>
      </w:r>
      <w:r>
        <w:t xml:space="preserve">their metadata, as long as unicity is guaranteed. A per-container 64-bit</w:t>
      </w:r>
      <w:r>
        <w:t xml:space="preserve"> </w:t>
      </w:r>
      <w:r>
        <w:t xml:space="preserve">scalable object ID allocator is provided in the DAOS API. The object ID to</w:t>
      </w:r>
      <w:r>
        <w:t xml:space="preserve"> </w:t>
      </w:r>
      <w:r>
        <w:t xml:space="preserve">be stored by the application is the full 128-bit address, which is for single</w:t>
      </w:r>
      <w:r>
        <w:t xml:space="preserve"> </w:t>
      </w:r>
      <w:r>
        <w:t xml:space="preserve">use only and can be associated with only a single object schema.</w:t>
      </w:r>
    </w:p>
    <w:p>
      <w:pPr>
        <w:pStyle w:val="BodyText"/>
      </w:pPr>
      <w:r>
        <w:rPr>
          <w:b/>
        </w:rPr>
        <w:t xml:space="preserve">DAOS Object ID Structure</w:t>
      </w:r>
    </w:p>
    <w:p>
      <w:pPr>
        <w:pStyle w:val="BodyText"/>
      </w:pPr>
      <w:r>
        <w:t xml:space="preserve">A container is the basic unit of transaction and versioning. All object</w:t>
      </w:r>
      <w:r>
        <w:t xml:space="preserve"> </w:t>
      </w:r>
      <w:r>
        <w:t xml:space="preserve">operations are implicitly tagged by the DAOS library with a timestamp called</w:t>
      </w:r>
      <w:r>
        <w:t xml:space="preserve"> </w:t>
      </w:r>
      <w:r>
        <w:t xml:space="preserve">an</w:t>
      </w:r>
      <w:r>
        <w:t xml:space="preserve"> </w:t>
      </w:r>
      <w:r>
        <w:rPr>
          <w:i/>
        </w:rPr>
        <w:t xml:space="preserve">epoch</w:t>
      </w:r>
      <w:r>
        <w:t xml:space="preserve">. The DAOS transaction API allows to combine multiple object updates</w:t>
      </w:r>
      <w:r>
        <w:t xml:space="preserve"> </w:t>
      </w:r>
      <w:r>
        <w:t xml:space="preserve">into a single atomic transaction, with multi-version concurrency control</w:t>
      </w:r>
      <w:r>
        <w:t xml:space="preserve"> </w:t>
      </w:r>
      <w:r>
        <w:t xml:space="preserve">based on epoch ordering. All the versioned updates may be periodically</w:t>
      </w:r>
      <w:r>
        <w:t xml:space="preserve"> </w:t>
      </w:r>
      <w:r>
        <w:rPr>
          <w:i/>
        </w:rPr>
        <w:t xml:space="preserve">aggregated</w:t>
      </w:r>
      <w:r>
        <w:t xml:space="preserve">, to reclaim space utilized by overlapping writes and to reduce</w:t>
      </w:r>
      <w:r>
        <w:t xml:space="preserve"> </w:t>
      </w:r>
      <w:r>
        <w:t xml:space="preserve">metadata complexity. A snapshot is a permanent reference that can be placed</w:t>
      </w:r>
      <w:r>
        <w:t xml:space="preserve"> </w:t>
      </w:r>
      <w:r>
        <w:t xml:space="preserve">on a specific epoch to prevent aggregation.</w:t>
      </w:r>
    </w:p>
    <w:p>
      <w:pPr>
        <w:pStyle w:val="BodyText"/>
      </w:pPr>
      <w:r>
        <w:t xml:space="preserve">Container metadata (list of snapshots, container open handles,</w:t>
      </w:r>
      <w:r>
        <w:t xml:space="preserve"> </w:t>
      </w:r>
      <w:r>
        <w:t xml:space="preserve">object class, user attributes, properties, and others) are stored in persistent</w:t>
      </w:r>
      <w:r>
        <w:t xml:space="preserve"> </w:t>
      </w:r>
      <w:r>
        <w:t xml:space="preserve">memory and maintained by a dedicated container metadata service that either</w:t>
      </w:r>
      <w:r>
        <w:t xml:space="preserve"> </w:t>
      </w:r>
      <w:r>
        <w:t xml:space="preserve">uses the same replicated engine as the parent metadata pool service,</w:t>
      </w:r>
      <w:r>
        <w:t xml:space="preserve"> </w:t>
      </w:r>
      <w:r>
        <w:t xml:space="preserve">or has its own engine. This is configurable when creating a container.</w:t>
      </w:r>
    </w:p>
    <w:p>
      <w:pPr>
        <w:pStyle w:val="BodyText"/>
      </w:pPr>
      <w:r>
        <w:t xml:space="preserve">Like a pool, access to a container is controlled by the container handle.</w:t>
      </w:r>
      <w:r>
        <w:t xml:space="preserve"> </w:t>
      </w:r>
      <w:r>
        <w:t xml:space="preserve">To acquire a valid handle, an application process must open the container</w:t>
      </w:r>
      <w:r>
        <w:t xml:space="preserve"> </w:t>
      </w:r>
      <w:r>
        <w:t xml:space="preserve">and pass the security checks. This container handle may then be shared with</w:t>
      </w:r>
      <w:r>
        <w:t xml:space="preserve"> </w:t>
      </w:r>
      <w:r>
        <w:t xml:space="preserve">other peer application processes via the container</w:t>
      </w:r>
      <w:r>
        <w:t xml:space="preserve"> </w:t>
      </w:r>
      <w:r>
        <w:rPr>
          <w:rStyle w:val="VerbatimChar"/>
        </w:rPr>
        <w:t xml:space="preserve">local2global()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global2local()</w:t>
      </w:r>
      <w:r>
        <w:t xml:space="preserve"> </w:t>
      </w:r>
      <w:r>
        <w:t xml:space="preserve">operations.</w:t>
      </w:r>
    </w:p>
    <w:p>
      <w:pPr>
        <w:pStyle w:val="BodyText"/>
      </w:pPr>
      <w:r>
        <w:t xml:space="preserve"> </w:t>
      </w:r>
      <w:r>
        <w:t xml:space="preserve">## DAOS Object</w:t>
      </w:r>
    </w:p>
    <w:p>
      <w:pPr>
        <w:pStyle w:val="BodyText"/>
      </w:pPr>
      <w:r>
        <w:t xml:space="preserve">To avoid scaling problems and overhead common to a traditional storage system,</w:t>
      </w:r>
      <w:r>
        <w:t xml:space="preserve"> </w:t>
      </w:r>
      <w:r>
        <w:t xml:space="preserve">DAOS objects are intentionally simple. No default object metadata beyond the</w:t>
      </w:r>
      <w:r>
        <w:t xml:space="preserve"> </w:t>
      </w:r>
      <w:r>
        <w:t xml:space="preserve">type and schema is provided. This means that the system does not maintain</w:t>
      </w:r>
      <w:r>
        <w:t xml:space="preserve"> </w:t>
      </w:r>
      <w:r>
        <w:t xml:space="preserve">time, size, owner, permissions or even track openers.</w:t>
      </w:r>
      <w:r>
        <w:t xml:space="preserve"> </w:t>
      </w:r>
      <w:r>
        <w:t xml:space="preserve">To achieve high availability and horizontal scalability, many object schemas</w:t>
      </w:r>
      <w:r>
        <w:t xml:space="preserve"> </w:t>
      </w:r>
      <w:r>
        <w:t xml:space="preserve">(replication/erasure code, static/dynamic striping, and others) are provided.</w:t>
      </w:r>
      <w:r>
        <w:t xml:space="preserve"> </w:t>
      </w:r>
      <w:r>
        <w:t xml:space="preserve">The schema framework is flexible and easily expandable to allow for new custom</w:t>
      </w:r>
      <w:r>
        <w:t xml:space="preserve"> </w:t>
      </w:r>
      <w:r>
        <w:t xml:space="preserve">schema types in the future. The layout is generated algorithmically on object</w:t>
      </w:r>
      <w:r>
        <w:t xml:space="preserve"> </w:t>
      </w:r>
      <w:r>
        <w:t xml:space="preserve">open from the object identifier and the pool map. End-to-end integrity is</w:t>
      </w:r>
      <w:r>
        <w:t xml:space="preserve"> </w:t>
      </w:r>
      <w:r>
        <w:t xml:space="preserve">assured by protecting object data with checksums during network transfer</w:t>
      </w:r>
      <w:r>
        <w:t xml:space="preserve"> </w:t>
      </w:r>
      <w:r>
        <w:t xml:space="preserve">and storage.</w:t>
      </w:r>
    </w:p>
    <w:p>
      <w:pPr>
        <w:pStyle w:val="BodyText"/>
      </w:pPr>
      <w:r>
        <w:t xml:space="preserve">A DAOS object can be accessed through different APIs:</w:t>
      </w:r>
    </w:p>
    <w:p>
      <w:pPr>
        <w:numPr>
          <w:ilvl w:val="0"/>
          <w:numId w:val="1001"/>
        </w:numPr>
      </w:pPr>
      <w:r>
        <w:rPr>
          <w:b/>
        </w:rPr>
        <w:t xml:space="preserve">Multi-level key-array</w:t>
      </w:r>
      <w:r>
        <w:t xml:space="preserve"> </w:t>
      </w:r>
      <w:r>
        <w:t xml:space="preserve">API is the native object interface with locality</w:t>
      </w:r>
      <w:r>
        <w:t xml:space="preserve"> </w:t>
      </w:r>
      <w:r>
        <w:t xml:space="preserve">feature. The key is split into a distribution (dkey) and an</w:t>
      </w:r>
      <w:r>
        <w:t xml:space="preserve"> </w:t>
      </w:r>
      <w:r>
        <w:t xml:space="preserve">attribute (akey) key. Both the dkey and akey can be of variable</w:t>
      </w:r>
      <w:r>
        <w:t xml:space="preserve"> </w:t>
      </w:r>
      <w:r>
        <w:t xml:space="preserve">length and type (a string, an integer or even a complex data</w:t>
      </w:r>
      <w:r>
        <w:t xml:space="preserve"> </w:t>
      </w:r>
      <w:r>
        <w:t xml:space="preserve">structure). All entries under the same dkey are guaranteed to be</w:t>
      </w:r>
      <w:r>
        <w:t xml:space="preserve"> </w:t>
      </w:r>
      <w:r>
        <w:t xml:space="preserve">collocated on the same target. The value associated with akey can be</w:t>
      </w:r>
      <w:r>
        <w:t xml:space="preserve"> </w:t>
      </w:r>
      <w:r>
        <w:t xml:space="preserve">either a single variable-length value that cannot be partially overwritten,</w:t>
      </w:r>
      <w:r>
        <w:t xml:space="preserve"> </w:t>
      </w:r>
      <w:r>
        <w:t xml:space="preserve">or an array of fixed-length values.</w:t>
      </w:r>
      <w:r>
        <w:t xml:space="preserve"> </w:t>
      </w:r>
      <w:r>
        <w:t xml:space="preserve">Both the akeys and dkeys support enumeration.</w:t>
      </w:r>
    </w:p>
    <w:p>
      <w:pPr>
        <w:numPr>
          <w:ilvl w:val="0"/>
          <w:numId w:val="1001"/>
        </w:numPr>
      </w:pPr>
      <w:r>
        <w:rPr>
          <w:b/>
        </w:rPr>
        <w:t xml:space="preserve">Key-value</w:t>
      </w:r>
      <w:r>
        <w:t xml:space="preserve"> </w:t>
      </w:r>
      <w:r>
        <w:t xml:space="preserve">API provides a simple key and variable-length value</w:t>
      </w:r>
      <w:r>
        <w:t xml:space="preserve"> </w:t>
      </w:r>
      <w:r>
        <w:t xml:space="preserve">interface. It supports the traditional put, get, remove and list operations.</w:t>
      </w:r>
    </w:p>
    <w:p>
      <w:pPr>
        <w:numPr>
          <w:ilvl w:val="0"/>
          <w:numId w:val="1001"/>
        </w:numPr>
      </w:pPr>
      <w:r>
        <w:rPr>
          <w:b/>
        </w:rPr>
        <w:t xml:space="preserve">Array API</w:t>
      </w:r>
      <w:r>
        <w:t xml:space="preserve"> </w:t>
      </w:r>
      <w:r>
        <w:t xml:space="preserve">implements a one-dimensional array of fixed-size elements</w:t>
      </w:r>
      <w:r>
        <w:t xml:space="preserve"> </w:t>
      </w:r>
      <w:r>
        <w:t xml:space="preserve">addressed by a 64-bit offset. A DAOS array supports arbitrary extent read,</w:t>
      </w:r>
      <w:r>
        <w:t xml:space="preserve"> </w:t>
      </w:r>
      <w:r>
        <w:t xml:space="preserve">write and punch operations.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2021-03-19T14:16:20Z</dcterms:created>
  <dcterms:modified xsi:type="dcterms:W3CDTF">2021-03-19T14:16:20Z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