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# Transaction Model</w:t>
      </w:r>
    </w:p>
    <w:p>
      <w:pPr>
        <w:pStyle w:val="BodyText"/>
      </w:pPr>
      <w:r>
        <w:t xml:space="preserve">The DAOS API supports distributed transactions that allow any update</w:t>
      </w:r>
      <w:r>
        <w:t xml:space="preserve"> </w:t>
      </w:r>
      <w:r>
        <w:t xml:space="preserve">operations against objects belonging to the same container to be combined</w:t>
      </w:r>
      <w:r>
        <w:t xml:space="preserve"> </w:t>
      </w:r>
      <w:r>
        <w:t xml:space="preserve">into a single ACID transaction. Distributed consistency is provided via a</w:t>
      </w:r>
      <w:r>
        <w:t xml:space="preserve"> </w:t>
      </w:r>
      <w:r>
        <w:t xml:space="preserve">lockless optimistic concurrency control mechanism based on multi-version</w:t>
      </w:r>
      <w:r>
        <w:t xml:space="preserve"> </w:t>
      </w:r>
      <w:r>
        <w:t xml:space="preserve">timestamp ordering. DAOS transactions are serializable and can be used on</w:t>
      </w:r>
      <w:r>
        <w:t xml:space="preserve"> </w:t>
      </w:r>
      <w:r>
        <w:t xml:space="preserve">an ad-hoc basis for parts of the datasets that need it.</w:t>
      </w:r>
    </w:p>
    <w:p>
      <w:pPr>
        <w:pStyle w:val="BodyText"/>
      </w:pPr>
      <w:r>
        <w:t xml:space="preserve">The DAOS versioning mechanism allows creating persistent container</w:t>
      </w:r>
      <w:r>
        <w:t xml:space="preserve"> </w:t>
      </w:r>
      <w:r>
        <w:t xml:space="preserve">snapshots which provide point-in-time distributed consistent views of a</w:t>
      </w:r>
      <w:r>
        <w:t xml:space="preserve"> </w:t>
      </w:r>
      <w:r>
        <w:t xml:space="preserve">container which can be used to build producer-consumer pipeline.</w:t>
      </w:r>
    </w:p>
    <w:p>
      <w:pPr>
        <w:pStyle w:val="BodyText"/>
      </w:pPr>
      <w:r>
        <w:t xml:space="preserve"> </w:t>
      </w:r>
      <w:r>
        <w:t xml:space="preserve">## Epoch and Timestamp Ordering</w:t>
      </w:r>
    </w:p>
    <w:p>
      <w:pPr>
        <w:pStyle w:val="BodyText"/>
      </w:pPr>
      <w:r>
        <w:t xml:space="preserve">Each DAOS I/O operation is tagged with a timestamp called</w:t>
      </w:r>
      <w:r>
        <w:t xml:space="preserve"> </w:t>
      </w:r>
      <w:r>
        <w:rPr>
          <w:i/>
        </w:rPr>
        <w:t xml:space="preserve">epoch</w:t>
      </w:r>
      <w:r>
        <w:t xml:space="preserve">. An epoch</w:t>
      </w:r>
      <w:r>
        <w:t xml:space="preserve"> </w:t>
      </w:r>
      <w:r>
        <w:t xml:space="preserve">is a 64-bit integer that integrates both logical and physical clocks</w:t>
      </w:r>
      <w:r>
        <w:t xml:space="preserve"> </w:t>
      </w:r>
      <w:r>
        <w:t xml:space="preserve">(see</w:t>
      </w:r>
      <w:r>
        <w:t xml:space="preserve"> </w:t>
      </w:r>
      <w:hyperlink r:id="rId20">
        <w:r>
          <w:rPr>
            <w:rStyle w:val="Hyperlink"/>
          </w:rPr>
          <w:t xml:space="preserve">HLC paper</w:t>
        </w:r>
      </w:hyperlink>
      <w:r>
        <w:t xml:space="preserve">).</w:t>
      </w:r>
      <w:r>
        <w:t xml:space="preserve"> </w:t>
      </w:r>
      <w:r>
        <w:t xml:space="preserve">The DAOS API provides helper functions to convert an epoch to traditional</w:t>
      </w:r>
      <w:r>
        <w:t xml:space="preserve"> </w:t>
      </w:r>
      <w:r>
        <w:t xml:space="preserve">POSIX time (i.e.,</w:t>
      </w:r>
      <w:r>
        <w:t xml:space="preserve"> </w:t>
      </w:r>
      <w:r>
        <w:rPr>
          <w:rStyle w:val="VerbatimChar"/>
        </w:rPr>
        <w:t xml:space="preserve">struct timespec</w:t>
      </w:r>
      <w:r>
        <w:t xml:space="preserve">, see</w:t>
      </w:r>
      <w:r>
        <w:t xml:space="preserve"> </w:t>
      </w:r>
      <w:r>
        <w:rPr>
          <w:rStyle w:val="VerbatimChar"/>
        </w:rPr>
        <w:t xml:space="preserve">clock_gettime(3)</w:t>
      </w:r>
      <w:r>
        <w:t xml:space="preserve">).</w:t>
      </w:r>
    </w:p>
    <w:p>
      <w:pPr>
        <w:pStyle w:val="BodyText"/>
      </w:pPr>
      <w:r>
        <w:t xml:space="preserve"> </w:t>
      </w:r>
      <w:r>
        <w:t xml:space="preserve">## Container Snapshot</w:t>
      </w:r>
    </w:p>
    <w:p>
      <w:pPr>
        <w:pStyle w:val="BodyText"/>
      </w:pPr>
      <w:r>
        <w:t xml:space="preserve">As shown in the</w:t>
      </w:r>
      <w:r>
        <w:t xml:space="preserve"> </w:t>
      </w:r>
      <w:r>
        <w:t xml:space="preserve">figure</w:t>
      </w:r>
      <w:r>
        <w:t xml:space="preserve"> </w:t>
      </w:r>
      <w:r>
        <w:t xml:space="preserve">below, the content of a container</w:t>
      </w:r>
      <w:r>
        <w:t xml:space="preserve"> </w:t>
      </w:r>
      <w:r>
        <w:t xml:space="preserve">can be snapshot at any time.</w:t>
      </w:r>
    </w:p>
    <w:p>
      <w:pPr>
        <w:pStyle w:val="BodyText"/>
      </w:pPr>
      <w:r>
        <w:t xml:space="preserve"> </w:t>
      </w:r>
      <w:r>
        <w:drawing>
          <wp:inline>
            <wp:extent cx="5334000" cy="1462015"/>
            <wp:effectExtent b="0" l="0" r="0" t="0"/>
            <wp:docPr descr="../graph/container_snapshots.png" title="Example of Container Snapshots" id="1" name="Picture"/>
            <a:graphic>
              <a:graphicData uri="http://schemas.openxmlformats.org/drawingml/2006/picture">
                <pic:pic>
                  <pic:nvPicPr>
                    <pic:cNvPr descr="../graph/container_snapshot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2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DAOS snapshots are very lightweight and are tagged with the epoch associated</w:t>
      </w:r>
      <w:r>
        <w:t xml:space="preserve"> </w:t>
      </w:r>
      <w:r>
        <w:t xml:space="preserve">with the time when the snapshot was created. Once successfully created,</w:t>
      </w:r>
      <w:r>
        <w:t xml:space="preserve"> </w:t>
      </w:r>
      <w:r>
        <w:t xml:space="preserve">a snapshot remains readable until it is explicitly destroyed. The content of</w:t>
      </w:r>
      <w:r>
        <w:t xml:space="preserve"> </w:t>
      </w:r>
      <w:r>
        <w:t xml:space="preserve">a container can be rolled back to a particular snapshot.</w:t>
      </w:r>
    </w:p>
    <w:p>
      <w:pPr>
        <w:pStyle w:val="BodyText"/>
      </w:pPr>
      <w:r>
        <w:t xml:space="preserve">The container snapshot feature allows supporting native producer/consumer</w:t>
      </w:r>
      <w:r>
        <w:t xml:space="preserve"> </w:t>
      </w:r>
      <w:r>
        <w:t xml:space="preserve">pipelines as represented in the diagram below.</w:t>
      </w:r>
    </w:p>
    <w:p>
      <w:pPr>
        <w:pStyle w:val="CaptionedFigure"/>
      </w:pPr>
      <w:r>
        <w:drawing>
          <wp:inline>
            <wp:extent cx="3901440" cy="2334768"/>
            <wp:effectExtent b="0" l="0" r="0" t="0"/>
            <wp:docPr descr="../graph/producer_consumer.png" title="Producer/Consumer Workflow with DAOS Containers" id="1" name="Picture"/>
            <a:graphic>
              <a:graphicData uri="http://schemas.openxmlformats.org/drawingml/2006/picture">
                <pic:pic>
                  <pic:nvPicPr>
                    <pic:cNvPr descr="../graph/producer_consum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2334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../graph/producer_consumer.png</w:t>
      </w:r>
    </w:p>
    <w:p>
      <w:pPr>
        <w:pStyle w:val="BodyText"/>
      </w:pPr>
      <w:r>
        <w:t xml:space="preserve">The producer will generate a snapshot once a consistent version of the</w:t>
      </w:r>
      <w:r>
        <w:t xml:space="preserve"> </w:t>
      </w:r>
      <w:r>
        <w:t xml:space="preserve">dataset has been successfully written. The consumer applications may</w:t>
      </w:r>
      <w:r>
        <w:t xml:space="preserve"> </w:t>
      </w:r>
      <w:r>
        <w:t xml:space="preserve">subscribe to container snapshot events, so that new updates can be processed</w:t>
      </w:r>
      <w:r>
        <w:t xml:space="preserve"> </w:t>
      </w:r>
      <w:r>
        <w:t xml:space="preserve">as the producer commits them. The immutability of the snapshots guarantees</w:t>
      </w:r>
      <w:r>
        <w:t xml:space="preserve"> </w:t>
      </w:r>
      <w:r>
        <w:t xml:space="preserve">that the consumer sees consistent data, even while the producer continues</w:t>
      </w:r>
      <w:r>
        <w:t xml:space="preserve"> </w:t>
      </w:r>
      <w:r>
        <w:t xml:space="preserve">with new updates. Both the producer and consumer indeed operate on different</w:t>
      </w:r>
      <w:r>
        <w:t xml:space="preserve"> </w:t>
      </w:r>
      <w:r>
        <w:t xml:space="preserve">versions of the container and do not need any serialization. Once the</w:t>
      </w:r>
      <w:r>
        <w:t xml:space="preserve"> </w:t>
      </w:r>
      <w:r>
        <w:t xml:space="preserve">producer generates a new version of the dataset, the consumer may query the</w:t>
      </w:r>
      <w:r>
        <w:t xml:space="preserve"> </w:t>
      </w:r>
      <w:r>
        <w:t xml:space="preserve">differences between the two snapshots and process only the incremental changes.</w:t>
      </w:r>
    </w:p>
    <w:p>
      <w:pPr>
        <w:pStyle w:val="BodyText"/>
      </w:pPr>
      <w:r>
        <w:t xml:space="preserve"> </w:t>
      </w:r>
      <w:r>
        <w:t xml:space="preserve">## Distributed Transactions</w:t>
      </w:r>
    </w:p>
    <w:p>
      <w:pPr>
        <w:pStyle w:val="BodyText"/>
      </w:pPr>
      <w:r>
        <w:t xml:space="preserve">Unlike POSIX, the DAOS API does not impose any worst-case concurrency</w:t>
      </w:r>
      <w:r>
        <w:t xml:space="preserve"> </w:t>
      </w:r>
      <w:r>
        <w:t xml:space="preserve">control mechanism to address conflicting I/O operations. Instead,</w:t>
      </w:r>
      <w:r>
        <w:t xml:space="preserve"> </w:t>
      </w:r>
      <w:r>
        <w:t xml:space="preserve">individual I/O operations are tagged with a different epoch and applied</w:t>
      </w:r>
      <w:r>
        <w:t xml:space="preserve"> </w:t>
      </w:r>
      <w:r>
        <w:t xml:space="preserve">in epoch order, regardless of execution order. This baseline model</w:t>
      </w:r>
      <w:r>
        <w:t xml:space="preserve"> </w:t>
      </w:r>
      <w:r>
        <w:t xml:space="preserve">delivers the maximum scalability and performance to data models and</w:t>
      </w:r>
      <w:r>
        <w:t xml:space="preserve"> </w:t>
      </w:r>
      <w:r>
        <w:t xml:space="preserve">applications that do not generate conflicting I/O workload. Typical</w:t>
      </w:r>
      <w:r>
        <w:t xml:space="preserve"> </w:t>
      </w:r>
      <w:r>
        <w:t xml:space="preserve">examples are collective MPI-IO operations, POSIX file read/write</w:t>
      </w:r>
      <w:r>
        <w:t xml:space="preserve"> </w:t>
      </w:r>
      <w:r>
        <w:t xml:space="preserve">or HDF5 dataset read/write.</w:t>
      </w:r>
    </w:p>
    <w:p>
      <w:pPr>
        <w:pStyle w:val="BodyText"/>
      </w:pPr>
      <w:r>
        <w:t xml:space="preserve">For parts of the data model that require conflict serialization,</w:t>
      </w:r>
      <w:r>
        <w:t xml:space="preserve"> </w:t>
      </w:r>
      <w:r>
        <w:t xml:space="preserve">DAOS provides distributed serializable transaction based on multi-version</w:t>
      </w:r>
      <w:r>
        <w:t xml:space="preserve"> </w:t>
      </w:r>
      <w:r>
        <w:t xml:space="preserve">concurrency control. Transactions are typically needed when different user</w:t>
      </w:r>
      <w:r>
        <w:t xml:space="preserve"> </w:t>
      </w:r>
      <w:r>
        <w:t xml:space="preserve">processes can overwrite the value associated with a dkey/akey pair.</w:t>
      </w:r>
      <w:r>
        <w:t xml:space="preserve"> </w:t>
      </w:r>
      <w:r>
        <w:t xml:space="preserve">Examples are a SQL database over DAOS or a consistent POSIX namespace</w:t>
      </w:r>
      <w:r>
        <w:t xml:space="preserve"> </w:t>
      </w:r>
      <w:r>
        <w:t xml:space="preserve">accessed concurrently by uncoordinated clients. All I/O operations</w:t>
      </w:r>
      <w:r>
        <w:t xml:space="preserve"> </w:t>
      </w:r>
      <w:r>
        <w:t xml:space="preserve">(including reads) submitted in the context of the same operation will use</w:t>
      </w:r>
      <w:r>
        <w:t xml:space="preserve"> </w:t>
      </w:r>
      <w:r>
        <w:t xml:space="preserve">the same epoch. The DAOS transaction mechanism automatically detects the</w:t>
      </w:r>
      <w:r>
        <w:t xml:space="preserve"> </w:t>
      </w:r>
      <w:r>
        <w:t xml:space="preserve">traditional read/write, write/read and write/write conflicts and aborts</w:t>
      </w:r>
      <w:r>
        <w:t xml:space="preserve"> </w:t>
      </w:r>
      <w:r>
        <w:t xml:space="preserve">one of the conflicting transactions (the transaction fails to commit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-DER_RESTART</w:t>
      </w:r>
      <w:r>
        <w:t xml:space="preserve">). The failed transaction then has to be restarted</w:t>
      </w:r>
      <w:r>
        <w:t xml:space="preserve"> </w:t>
      </w:r>
      <w:r>
        <w:t xml:space="preserve">by the user/application.</w:t>
      </w:r>
    </w:p>
    <w:p>
      <w:pPr>
        <w:pStyle w:val="BodyText"/>
      </w:pPr>
      <w:r>
        <w:t xml:space="preserve">In the initial implementation, the transaction API has the following</w:t>
      </w:r>
      <w:r>
        <w:t xml:space="preserve"> </w:t>
      </w:r>
      <w:r>
        <w:t xml:space="preserve">limitations that will be addressed in future DAOS versions:</w:t>
      </w:r>
    </w:p>
    <w:p>
      <w:pPr>
        <w:numPr>
          <w:ilvl w:val="0"/>
          <w:numId w:val="1001"/>
        </w:numPr>
        <w:pStyle w:val="Compact"/>
      </w:pPr>
      <w:r>
        <w:t xml:space="preserve">no support for the array API</w:t>
      </w:r>
    </w:p>
    <w:p>
      <w:pPr>
        <w:numPr>
          <w:ilvl w:val="0"/>
          <w:numId w:val="1001"/>
        </w:numPr>
        <w:pStyle w:val="Compact"/>
      </w:pPr>
      <w:r>
        <w:t xml:space="preserve">transactional object update and key-value put operations are not visible</w:t>
      </w:r>
      <w:r>
        <w:t xml:space="preserve"> </w:t>
      </w:r>
      <w:r>
        <w:t xml:space="preserve">via object fetch/list and key-value get/list operations executed in the</w:t>
      </w:r>
      <w:r>
        <w:t xml:space="preserve"> </w:t>
      </w:r>
      <w:r>
        <w:t xml:space="preserve">context of the same transaction.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hyperlink" Id="rId20" Target="https://cse.buffalo.edu/tech-reports/2014-04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cse.buffalo.edu/tech-reports/2014-04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2021-03-19T14:16:20Z</dcterms:created>
  <dcterms:modified xsi:type="dcterms:W3CDTF">2021-03-19T14:16:20Z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