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798"/>
        <w:gridCol w:w="4876"/>
      </w:tblGrid>
      <w:tr>
        <w:tc>
          <w:tcPr>
            <w:tcW w:type="dxa" w:w="4408"/>
          </w:tcPr>
          <w:p>
            <w:pPr>
              <w:jc w:val="center"/>
            </w:pPr>
            <w:r>
              <w:rPr>
                <w:rFonts w:ascii="Times New Roman" w:hAnsi="Times New Roman"/>
                <w:b/>
                <w:sz w:val="21"/>
              </w:rPr>
              <w:t>ỦY BAN NHÂN DÂN</w:t>
              <w:br/>
              <w:t>THÀNH PHỐ HÀ NỘI</w:t>
              <w:br/>
              <w:t>Số: 4629/QĐ-UBND</w:t>
            </w:r>
          </w:p>
        </w:tc>
        <w:tc>
          <w:tcPr>
            <w:tcW w:type="dxa" w:w="4408"/>
          </w:tcPr>
          <w:p>
            <w:pPr>
              <w:jc w:val="center"/>
            </w:pPr>
            <w:r>
              <w:rPr>
                <w:rFonts w:ascii="Times New Roman" w:hAnsi="Times New Roman"/>
                <w:b/>
                <w:sz w:val="21"/>
              </w:rPr>
              <w:t>CỘNG HÒA XÃ HỘI CHỦ NGHĨA VIỆT NAM</w:t>
              <w:br/>
              <w:t>Độc lập - Tự do - Hạnh phúc</w:t>
            </w:r>
          </w:p>
        </w:tc>
      </w:tr>
    </w:tbl>
    <w:p/>
    <w:p>
      <w:pPr>
        <w:pStyle w:val="CenterTitle"/>
        <w:keepLines/>
        <w:jc w:val="center"/>
      </w:pPr>
      <w:r>
        <w:rPr>
          <w:b/>
          <w:i w:val="0"/>
        </w:rPr>
        <w:t>QUYẾT ĐỊNH CHẤP THUẬN CHỦ TRƯƠNG ĐẦU TƯ ĐỒNG THỜI</w:t>
      </w:r>
    </w:p>
    <w:p>
      <w:pPr>
        <w:pStyle w:val="CenterTitle"/>
        <w:keepLines/>
        <w:jc w:val="center"/>
      </w:pPr>
      <w:r>
        <w:rPr>
          <w:b/>
          <w:i w:val="0"/>
        </w:rPr>
        <w:t>CHẤP THUẬN NHÀ ĐẦU TƯ</w:t>
      </w:r>
    </w:p>
    <w:p>
      <w:pPr>
        <w:keepLines/>
        <w:jc w:val="center"/>
      </w:pPr>
      <w:r>
        <w:rPr>
          <w:b w:val="0"/>
          <w:i/>
        </w:rPr>
        <w:t>(Cấp lần đầu: ngày 28 tháng 8 năm 2026)</w:t>
      </w:r>
    </w:p>
    <w:p>
      <w:pPr>
        <w:pStyle w:val="CenterTitle"/>
        <w:keepLines/>
        <w:jc w:val="center"/>
      </w:pPr>
      <w:r>
        <w:rPr>
          <w:b/>
          <w:i w:val="0"/>
        </w:rPr>
        <w:t>CHỦ TỊCH ỦY BAN NHÂN DÂN THÀNH PHỐ HÀ NỘI</w:t>
      </w:r>
    </w:p>
    <w:p>
      <w:pPr>
        <w:keepLines/>
        <w:ind w:firstLine="340"/>
        <w:jc w:val="both"/>
      </w:pPr>
      <w:r>
        <w:rPr>
          <w:b w:val="0"/>
          <w:i/>
        </w:rPr>
        <w:t>Căn cứ Luật Tổ chức chính quyền địa phương ngày 16/6/2025;</w:t>
      </w:r>
    </w:p>
    <w:p>
      <w:pPr>
        <w:keepLines/>
        <w:ind w:firstLine="340"/>
        <w:jc w:val="both"/>
      </w:pPr>
      <w:r>
        <w:rPr>
          <w:b w:val="0"/>
          <w:i/>
        </w:rPr>
        <w:t>Căn cứ Luật Thủ đô ngày 23/4/2026;</w:t>
      </w:r>
    </w:p>
    <w:p>
      <w:pPr>
        <w:keepLines/>
        <w:ind w:firstLine="340"/>
        <w:jc w:val="both"/>
      </w:pPr>
      <w:r>
        <w:rPr>
          <w:b w:val="0"/>
          <w:i/>
        </w:rPr>
        <w:t>Căn cứ Thông tư số 55/2026/TT-BTC ngày 15/5/2026 của Bộ trưởng Bộ Tài chính quy định mẫu văn bản, báo cáo liên quan đến hoạt động đầu tư tại Việt Nam và xúc tiến đầu tư;</w:t>
      </w:r>
    </w:p>
    <w:p>
      <w:pPr>
        <w:keepLines/>
        <w:ind w:firstLine="340"/>
        <w:jc w:val="both"/>
      </w:pPr>
      <w:r>
        <w:rPr>
          <w:b w:val="0"/>
          <w:i/>
        </w:rPr>
        <w:t>Căn cứ Nghị quyết số 45/2026/NQ-HĐND ngày 15/6/2026 của HĐND Thành phố quy định về quyết định, chấp thuận chủ trương đầu tư và điều chỉnh chủ trương đầu tư; lựa chọn nhà đầu tư, nhà thầu trong trường hợp đặc biệt; việc xác định dự án cần triển khai ngay trên địa bàn thành phố Hà Nội;</w:t>
      </w:r>
    </w:p>
    <w:p>
      <w:pPr>
        <w:keepLines/>
        <w:ind w:firstLine="340"/>
        <w:jc w:val="both"/>
      </w:pPr>
      <w:r>
        <w:rPr>
          <w:b w:val="0"/>
          <w:i/>
        </w:rPr>
        <w:t>Căn cứ Nghị quyết số 66/2026/NQ-HĐND ngày 15/6/2026 của HĐND Thành phố quy định chính sách cải tạo, chỉnh trang, tái thiết đô thị và phát triển đô thị tại khu vực TOD trên địa bàn thành phố Hà Nội;</w:t>
      </w:r>
    </w:p>
    <w:p>
      <w:pPr>
        <w:keepLines/>
        <w:ind w:firstLine="340"/>
        <w:jc w:val="both"/>
      </w:pPr>
      <w:r>
        <w:rPr>
          <w:b w:val="0"/>
          <w:i/>
        </w:rPr>
        <w:t>Căn cứ Quyết định số 3668/QĐ-UBND ngày 22/7/2026 của UBND Thành phố Hà Nội về việc thành lập Hội đồng thẩm định Thành phố để thẩm định hồ sơ đề nghị chấp thuận chủ trương đầu tư Dự án đầu tư xây dựng cải tạo, chỉnh trang, tái thiết đô thị hỗn hợp Vĩnh Hưng;</w:t>
      </w:r>
    </w:p>
    <w:p>
      <w:pPr>
        <w:keepLines/>
        <w:ind w:firstLine="340"/>
        <w:jc w:val="both"/>
      </w:pPr>
      <w:r>
        <w:rPr>
          <w:b w:val="0"/>
          <w:i/>
        </w:rPr>
        <w:t>Căn cứ Quyết định số 2512/QĐ-UBND ngày 13/5/2026 của UBND thành phố Hà Nội về việc phê duyệt Quy hoạch tổng thể Thủ đô Hà Nội tầm nhìn 100 năm;</w:t>
      </w:r>
    </w:p>
    <w:p>
      <w:pPr>
        <w:keepLines/>
        <w:ind w:firstLine="340"/>
        <w:jc w:val="both"/>
      </w:pPr>
      <w:r>
        <w:rPr>
          <w:b w:val="0"/>
          <w:i/>
        </w:rPr>
        <w:t>Căn cứ Thông báo số 877-TB/ĐU ngày 24/8/2026 của Đảng ủy UBND Thành phố về kết luận cuộc họp của Ban Thường vụ Đảng ủy UBND Thành phố ngày 24/8/2026;</w:t>
      </w:r>
    </w:p>
    <w:p>
      <w:pPr>
        <w:keepLines/>
        <w:ind w:firstLine="340"/>
        <w:jc w:val="both"/>
      </w:pPr>
      <w:r>
        <w:rPr>
          <w:b w:val="0"/>
          <w:i/>
        </w:rPr>
        <w:t>Căn cứ Thông báo số 687-TB/TU ngày 27/8/2026 của Thành ủy về Kết luận của Ban Thường vụ Thành ủy tại Hội nghị ngày 26/8/2026;</w:t>
      </w:r>
    </w:p>
    <w:p>
      <w:pPr>
        <w:keepLines/>
        <w:ind w:firstLine="340"/>
        <w:jc w:val="both"/>
      </w:pPr>
      <w:r>
        <w:rPr>
          <w:b w:val="0"/>
          <w:i/>
        </w:rPr>
        <w:t>Căn cứ Nghị quyết số 24-NQ/TU ngày 27/8/2026 của Ban chấp hành Đảng bộ Thành phố về nội dung trình của Đảng ủy UBND Thành phố tại các Tờ trình số 714-TTr/ĐU ngày 25/8/2026; Tờ trình số 719-TTr/ĐU và Tờ trình số 721-TTr/ĐU ngày 26/8/2026;</w:t>
      </w:r>
    </w:p>
    <w:p>
      <w:pPr>
        <w:keepLines/>
        <w:ind w:firstLine="340"/>
        <w:jc w:val="both"/>
      </w:pPr>
      <w:r>
        <w:rPr>
          <w:b w:val="0"/>
          <w:i/>
        </w:rPr>
        <w:t>Xét đề nghị của Công ty TNHH Đầu tư Tập đoàn Mặt trời tại văn bản đề nghị thực hiện dự án đầu tư ngày 07/7/2026 và các văn bản giải trình số 237/2026/CV-SHI ngày 23/7/2026, số 238/2026/CV-SHI ngày 03/8/2026, số 318/2026/CV-SHI ngày 21/8/2026, số 319/2026/CV-SHI ngày 24/8/2026 kèm theo</w:t>
      </w:r>
    </w:p>
    <w:p>
      <w:r>
        <w:br w:type="page"/>
      </w:r>
    </w:p>
    <w:p>
      <w:pPr>
        <w:keepLines/>
        <w:ind w:firstLine="0"/>
        <w:jc w:val="both"/>
      </w:pPr>
      <w:r>
        <w:rPr>
          <w:b w:val="0"/>
          <w:i/>
        </w:rPr>
        <w:t>hồ sơ đề nghị chấp thuận chủ trương đầu tư Dự án Cải tạo, chỉnh trang, tái thiết đô thị Vĩnh Hưng tại phường Vĩnh Hưng, thành phố Hà Nội;</w:t>
      </w:r>
    </w:p>
    <w:p>
      <w:pPr>
        <w:keepLines/>
        <w:ind w:firstLine="312"/>
        <w:jc w:val="both"/>
      </w:pPr>
      <w:r>
        <w:rPr>
          <w:b w:val="0"/>
          <w:i/>
        </w:rPr>
        <w:t>Xét ý kiến thẩm định của các đơn vị: Sở Quy hoạch - Kiến trúc (Văn bản số 4915/QHKT-QKĐ+HTĐT ngày 17/7/2026); UBND phường Vĩnh Hưng (các Văn bản: số 1849/UBND-KTHTĐT ngày 07/7/2026, số 2605/UBND-KTHTĐT ngày 03/8/2026); Sở Xây dựng (Văn bản số 15532/SXD-PTĐT ngày 17/7/2026); Sở Nông nghiệp và Môi trường (Văn bản số 10034/SNNMT-QHKHSDĐ ngày 20/7/2026); Sở Tài chính (các Văn bản: số 13871/STC-HTĐT ngày 17/8/2026, Văn bản số 14368/STC-HTĐT ngày 23/8/2026; số 14476/STC-HTĐT ngày 25/8/2026, số 14725/TTr-STC ngày 28/8/2026); Báo cáo thẩm định số 36/BC-HĐTĐ ngày 24/8/2026 của Hội đồng thẩm định Thành phố; Tờ trình số      /TTr-HĐTĐ ngày    /    /2026 của Hội đồng thẩm định;</w:t>
      </w:r>
    </w:p>
    <w:p>
      <w:pPr>
        <w:pStyle w:val="CenterTitle"/>
        <w:keepLines/>
        <w:jc w:val="center"/>
      </w:pPr>
      <w:r>
        <w:rPr>
          <w:b/>
          <w:i w:val="0"/>
        </w:rPr>
        <w:t>QUYẾT ĐỊNH:</w:t>
      </w:r>
    </w:p>
    <w:p>
      <w:pPr>
        <w:keepLines/>
        <w:ind w:firstLine="312"/>
        <w:jc w:val="both"/>
      </w:pPr>
      <w:r>
        <w:rPr>
          <w:b/>
          <w:i w:val="0"/>
        </w:rPr>
        <w:t>Điều 1.</w:t>
      </w:r>
      <w:r>
        <w:t xml:space="preserve"> Chấp thuận chủ trương đầu tư đồng thời với chấp thuận nhà đầu tư để triển khai ngay với nội dung như sau:</w:t>
      </w:r>
    </w:p>
    <w:p>
      <w:pPr>
        <w:pStyle w:val="BoldItem"/>
        <w:keepLines/>
        <w:jc w:val="both"/>
      </w:pPr>
      <w:r>
        <w:rPr>
          <w:b/>
        </w:rPr>
        <w:t>1. Nhà đầu tư:</w:t>
      </w:r>
      <w:r>
        <w:rPr>
          <w:b w:val="0"/>
        </w:rPr>
        <w:t xml:space="preserve"> Công ty TNHH Đầu tư Tập đoàn Mặt trời</w:t>
      </w:r>
    </w:p>
    <w:p>
      <w:pPr>
        <w:keepLines/>
        <w:ind w:firstLine="312"/>
        <w:jc w:val="both"/>
      </w:pPr>
      <w:r>
        <w:rPr>
          <w:b w:val="0"/>
          <w:i w:val="0"/>
        </w:rPr>
        <w:t>- Giấy chứng nhận đăng ký doanh nghiệp số 0401880979 do Phòng Đăng ký kinh doanh và Tài chính doanh nghiệp thuộc Sở Tài chính thành phố Hà Nội cấp đăng ký lần đầu ngày 13/02/2018, cấp thay đổi lần thứ 19 ngày 28/7/2026.</w:t>
      </w:r>
    </w:p>
    <w:p>
      <w:pPr>
        <w:keepLines/>
        <w:ind w:firstLine="312"/>
        <w:jc w:val="both"/>
      </w:pPr>
      <w:r>
        <w:rPr>
          <w:b w:val="0"/>
          <w:i w:val="0"/>
        </w:rPr>
        <w:t>- Địa chỉ trụ sở: Tầng 11, Tòa nhà Sun City, số 13 Hai Bà Trưng, phường Cửa Nam, thành phố Hà Nội. Điện thoại: 024.3938.6569.</w:t>
      </w:r>
    </w:p>
    <w:p>
      <w:pPr>
        <w:keepLines/>
        <w:ind w:firstLine="312"/>
        <w:jc w:val="both"/>
      </w:pPr>
      <w:r>
        <w:rPr>
          <w:b w:val="0"/>
          <w:i w:val="0"/>
        </w:rPr>
        <w:t>- Người đại diện theo pháp luật: Bà Hồ Thị Thu Trang; Chức danh: Tổng Giám đốc; Ngày sinh: 13/09/1979; Quốc tịch: Việt Nam; Số định danh cá nhân: 022179001198; Địa chỉ liên lạc: 136 Hồ Tùng Mậu, phường Phú Diễn, thành phố Hà Nội.</w:t>
      </w:r>
    </w:p>
    <w:p>
      <w:pPr>
        <w:pStyle w:val="BoldItem"/>
        <w:keepLines/>
        <w:jc w:val="both"/>
      </w:pPr>
      <w:r>
        <w:rPr>
          <w:b/>
        </w:rPr>
        <w:t>2. Tên dự án đầu tư:</w:t>
      </w:r>
      <w:r>
        <w:rPr>
          <w:b w:val="0"/>
        </w:rPr>
        <w:t xml:space="preserve"> Cải tạo, chỉnh trang, tái thiết đô thị Vĩnh Hưng.</w:t>
      </w:r>
    </w:p>
    <w:p>
      <w:pPr>
        <w:pStyle w:val="BoldItem"/>
        <w:keepLines/>
        <w:jc w:val="both"/>
      </w:pPr>
      <w:r>
        <w:rPr>
          <w:b/>
        </w:rPr>
        <w:t>3. Địa điểm xây dựng:</w:t>
      </w:r>
      <w:r>
        <w:rPr>
          <w:b w:val="0"/>
        </w:rPr>
        <w:t xml:space="preserve"> Phường Vĩnh Hưng, thành phố Hà Nội.</w:t>
      </w:r>
    </w:p>
    <w:p>
      <w:pPr>
        <w:pStyle w:val="BoldItem"/>
        <w:keepLines/>
        <w:jc w:val="both"/>
      </w:pPr>
      <w:r>
        <w:rPr>
          <w:b/>
          <w:i w:val="0"/>
        </w:rPr>
        <w:t>4. Mục tiêu đầu tư:</w:t>
      </w:r>
    </w:p>
    <w:p>
      <w:pPr>
        <w:keepLines/>
        <w:ind w:firstLine="312"/>
        <w:jc w:val="both"/>
      </w:pPr>
      <w:r>
        <w:rPr>
          <w:b w:val="0"/>
          <w:i w:val="0"/>
        </w:rPr>
        <w:t>Cụ thể hóa các chủ trương, định hướng của Bộ Chính trị, Quy hoạch tổng thể Thủ đô Hà Nội tầm nhìn 100 năm và triển khai các cơ chế, chính sách đặc thù theo Luật Thủ đô và Nghị quyết của Quốc hội; Đầu tư cải tạo, chỉnh trang, tái thiết và tái cấu trúc không gian phường Vĩnh Hưng; hoàn thiện đồng bộ hạ tầng kỹ thuật, hạ tầng xã hội và hệ thống giao thông theo quy hoạch; kết nối với trục cảnh quan sông Hồng; giải quyết các điểm nghẽn về giao thông, môi trường và trật tự đô thị; xây dựng Vĩnh Hưng trở thành mô hình kiểu mẫu về chỉnh trang, tái thiết đô thị, tạo động lực phát triển khu vực phía Nam – Đông Nam Thủ đô.</w:t>
      </w:r>
    </w:p>
    <w:p>
      <w:pPr>
        <w:pStyle w:val="BoldItem"/>
        <w:keepLines/>
        <w:jc w:val="both"/>
      </w:pPr>
      <w:r>
        <w:rPr>
          <w:b/>
          <w:i w:val="0"/>
        </w:rPr>
        <w:t>5. Quy mô đầu tư:</w:t>
      </w:r>
    </w:p>
    <w:p>
      <w:pPr>
        <w:keepLines/>
        <w:ind w:firstLine="312"/>
        <w:jc w:val="both"/>
      </w:pPr>
      <w:r>
        <w:rPr>
          <w:b w:val="0"/>
          <w:i w:val="0"/>
        </w:rPr>
        <w:t>Toàn bộ phường Vĩnh Hưng với diện tích khoảng 447 ha, trong đó:</w:t>
      </w:r>
    </w:p>
    <w:p>
      <w:pPr>
        <w:pStyle w:val="BoldItem"/>
        <w:keepLines/>
        <w:jc w:val="both"/>
      </w:pPr>
      <w:r>
        <w:rPr>
          <w:b w:val="0"/>
          <w:i w:val="0"/>
        </w:rPr>
        <w:t>5.1. Khu vực cải tạo, tái thiết đô thị với quy mô khoảng 206,1 ha:</w:t>
      </w:r>
    </w:p>
    <w:p>
      <w:r>
        <w:br w:type="page"/>
      </w:r>
    </w:p>
    <w:p>
      <w:pPr>
        <w:keepLines/>
        <w:ind w:firstLine="312"/>
        <w:jc w:val="both"/>
      </w:pPr>
      <w:r>
        <w:rPr>
          <w:b w:val="0"/>
          <w:i w:val="0"/>
        </w:rPr>
        <w:t>Tập trung đầu tư xây dựng mới, tái thiết và tổ chức lại không gian đô thị, trên cơ sở khai thác hiệu quả các quỹ đất có khả năng phát triển, đồng thời hình thành hệ thống hạ tầng kỹ thuật, hạ tầng xã hội và các chức năng đô thị đồng bộ, hiện đại.</w:t>
      </w:r>
    </w:p>
    <w:p>
      <w:pPr>
        <w:pStyle w:val="BoldItem"/>
        <w:keepLines/>
        <w:jc w:val="both"/>
      </w:pPr>
      <w:r>
        <w:rPr>
          <w:b w:val="0"/>
          <w:i w:val="0"/>
        </w:rPr>
        <w:t>a) Phạm vi đầu tư cải tạo, tái thiết đô thị dự kiến bao gồm:</w:t>
      </w:r>
    </w:p>
    <w:p>
      <w:pPr>
        <w:keepLines/>
        <w:ind w:firstLine="312"/>
        <w:jc w:val="both"/>
      </w:pPr>
      <w:r>
        <w:rPr>
          <w:b w:val="0"/>
          <w:i w:val="0"/>
        </w:rPr>
        <w:t>- Hệ thống hạ tầng kỹ thuật, gồm: Công trình giao thông, công trình viễn thông, chiếu sáng công cộng, công trình cấp nước, thoát nước mưa, thu gom, thoát nước và xử lý nước thải, cấp điện, bãi đỗ xe, công trình phòng cháy, chữa cháy và các công trình hạ tầng kỹ thuật khác theo quy hoạch được cấp có thẩm quyền phê duyệt.</w:t>
      </w:r>
    </w:p>
    <w:p>
      <w:pPr>
        <w:keepLines/>
        <w:ind w:firstLine="312"/>
        <w:jc w:val="both"/>
      </w:pPr>
      <w:r>
        <w:rPr>
          <w:b w:val="0"/>
          <w:i w:val="0"/>
        </w:rPr>
        <w:t>- Hệ thống hạ tầng xã hội, gồm: Công trình giáo dục, y tế, văn hóa, thể dục thể thao, thương mại, dịch vụ, công viên, cây xanh, mặt nước, không gian công cộng và các công trình phục vụ cộng đồng khác.</w:t>
      </w:r>
    </w:p>
    <w:p>
      <w:pPr>
        <w:keepLines/>
        <w:ind w:firstLine="312"/>
        <w:jc w:val="both"/>
      </w:pPr>
      <w:r>
        <w:rPr>
          <w:b w:val="0"/>
          <w:i w:val="0"/>
        </w:rPr>
        <w:t>- Hệ thống công trình nhà ở và hỗn hợp, gồm: Công trình hỗn hợp nhà ở và dịch vụ, nhà ở xã hội, nhà ở thương mại và các loại hình nhà ở khác theo quy hoạch.</w:t>
      </w:r>
    </w:p>
    <w:p>
      <w:pPr>
        <w:keepLines/>
        <w:ind w:firstLine="312"/>
        <w:jc w:val="both"/>
      </w:pPr>
      <w:r>
        <w:rPr>
          <w:b w:val="0"/>
          <w:i w:val="0"/>
        </w:rPr>
        <w:t>- Các công trình cơ quan, công trình công cộng và các chức năng đô thị khác phù hợp với định hướng quy hoạch và yêu cầu phát triển của khu vực.</w:t>
      </w:r>
    </w:p>
    <w:p>
      <w:pPr>
        <w:pStyle w:val="BoldItem"/>
        <w:keepLines/>
        <w:jc w:val="both"/>
      </w:pPr>
      <w:r>
        <w:rPr>
          <w:b w:val="0"/>
          <w:i w:val="0"/>
        </w:rPr>
        <w:t>b) Quy mô đầu tư cải tạo, tái thiết đô thị dự kiến như sau:</w:t>
      </w:r>
    </w:p>
    <w:p>
      <w:pPr>
        <w:keepLines/>
        <w:ind w:firstLine="312"/>
        <w:jc w:val="both"/>
      </w:pPr>
      <w:r>
        <w:rPr>
          <w:b w:val="0"/>
          <w:i w:val="0"/>
        </w:rPr>
        <w:t>- Đất ở khoảng 65,7 ha với tầng cao tối đa 45 tầng; quy mô dân số khoảng 100.000 người, trong đó bố trí quỹ đất nhà ở xã hội khoảng 13,2 ha.</w:t>
      </w:r>
    </w:p>
    <w:p>
      <w:pPr>
        <w:keepLines/>
        <w:ind w:firstLine="312"/>
        <w:jc w:val="both"/>
      </w:pPr>
      <w:r>
        <w:rPr>
          <w:b w:val="0"/>
          <w:i w:val="0"/>
        </w:rPr>
        <w:t>- Đất giáo dục khoảng 19,2 ha với tầng cao tối đa 5 tầng (gồm: trường liên cấp 15,1 ha; trường THPT 4,1 ha).</w:t>
      </w:r>
    </w:p>
    <w:p>
      <w:pPr>
        <w:keepLines/>
        <w:ind w:firstLine="312"/>
        <w:jc w:val="both"/>
      </w:pPr>
      <w:r>
        <w:rPr>
          <w:b w:val="0"/>
          <w:i w:val="0"/>
        </w:rPr>
        <w:t>- Đất văn hóa khoảng 1,5 ha.</w:t>
      </w:r>
    </w:p>
    <w:p>
      <w:pPr>
        <w:keepLines/>
        <w:ind w:firstLine="312"/>
        <w:jc w:val="both"/>
      </w:pPr>
      <w:r>
        <w:rPr>
          <w:b w:val="0"/>
          <w:i w:val="0"/>
        </w:rPr>
        <w:t>- Trạm y tế khoảng 0,3 ha.</w:t>
      </w:r>
    </w:p>
    <w:p>
      <w:pPr>
        <w:keepLines/>
        <w:ind w:firstLine="312"/>
        <w:jc w:val="both"/>
      </w:pPr>
      <w:r>
        <w:rPr>
          <w:b w:val="0"/>
          <w:i w:val="0"/>
        </w:rPr>
        <w:t>- Đất thương mại khoảng 0,5 ha.</w:t>
      </w:r>
    </w:p>
    <w:p>
      <w:pPr>
        <w:keepLines/>
        <w:ind w:firstLine="312"/>
        <w:jc w:val="both"/>
      </w:pPr>
      <w:r>
        <w:rPr>
          <w:b w:val="0"/>
          <w:i w:val="0"/>
        </w:rPr>
        <w:t>- Cây xanh sử dụng công cộng đô thị khoảng 13,8 ha.</w:t>
      </w:r>
    </w:p>
    <w:p>
      <w:pPr>
        <w:keepLines/>
        <w:ind w:firstLine="312"/>
        <w:jc w:val="both"/>
      </w:pPr>
      <w:r>
        <w:rPr>
          <w:b w:val="0"/>
          <w:i w:val="0"/>
        </w:rPr>
        <w:t>- Cây xanh sử dụng đơn vị ở gồm: Cây xanh đơn vị ở và hầm (bãi đỗ xe và thương mại khu vực Ga Metro) khoảng 25,7 ha.</w:t>
      </w:r>
    </w:p>
    <w:p>
      <w:pPr>
        <w:keepLines/>
        <w:ind w:firstLine="312"/>
        <w:jc w:val="both"/>
      </w:pPr>
      <w:r>
        <w:rPr>
          <w:b w:val="0"/>
          <w:i w:val="0"/>
        </w:rPr>
        <w:t>- Đất giao thông khoảng 78,6 ha.</w:t>
      </w:r>
    </w:p>
    <w:p>
      <w:pPr>
        <w:pStyle w:val="BoldItem"/>
        <w:keepLines/>
        <w:jc w:val="both"/>
      </w:pPr>
      <w:r>
        <w:rPr>
          <w:b w:val="0"/>
          <w:i w:val="0"/>
        </w:rPr>
        <w:t>5.2. Khu vực cải tạo, chỉnh trang đô thị với quy mô khoảng 240,9 ha:</w:t>
      </w:r>
    </w:p>
    <w:p>
      <w:pPr>
        <w:pStyle w:val="BoldItem"/>
        <w:keepLines/>
        <w:jc w:val="both"/>
      </w:pPr>
      <w:r>
        <w:rPr>
          <w:b w:val="0"/>
          <w:i w:val="0"/>
        </w:rPr>
        <w:t>a) Phạm vi cải tạo, chỉnh trang dự kiến bao gồm:</w:t>
      </w:r>
    </w:p>
    <w:p>
      <w:pPr>
        <w:keepLines/>
        <w:ind w:firstLine="312"/>
        <w:jc w:val="both"/>
      </w:pPr>
      <w:r>
        <w:rPr>
          <w:b w:val="0"/>
          <w:i w:val="0"/>
        </w:rPr>
        <w:t>- Cải tạo, chỉnh trang hệ thống giao thông: ưu tiên các tuyến đường có vai trò kết nối và các tuyến từ đường phân khu vực trở lên, đồng thời nghiên cứu cải tạo các điểm nghẽn giao thông, nút giao, các vị trí có nguy cơ mất an toàn hoặc không bảo đảm khả năng tiếp cận của phương tiện phòng cháy, chữa cháy. Đối với các tuyến ngõ, ngách và đường dân cư có mặt cắt nhỏ, thực hiện cải tạo phù hợp với điều kiện hiện trạng; không đặt yêu cầu mở rộng đồng loạt, hạn chế tối đa việc phá dỡ, di dời công trình và giải phóng mặt bằng trong khu dân cư.</w:t>
      </w:r>
    </w:p>
    <w:p>
      <w:pPr>
        <w:keepLines/>
        <w:ind w:firstLine="312"/>
        <w:jc w:val="both"/>
      </w:pPr>
      <w:r>
        <w:rPr>
          <w:b w:val="0"/>
          <w:i w:val="0"/>
        </w:rPr>
        <w:t>- Cải tạo, chỉnh trang hệ thống đèn chiếu sáng và cảnh quan, cây xanh: cải tạo nâng cấp hệ thống chiếu sáng công cộng; bổ sung, hoàn thiện hệ thống cây</w:t>
      </w:r>
    </w:p>
    <w:p>
      <w:r>
        <w:br w:type="page"/>
      </w:r>
    </w:p>
    <w:p>
      <w:pPr>
        <w:keepLines/>
        <w:ind w:firstLine="0"/>
        <w:jc w:val="both"/>
      </w:pPr>
      <w:r>
        <w:rPr>
          <w:b w:val="0"/>
          <w:i w:val="0"/>
        </w:rPr>
        <w:t>xanh và cảnh quan đô thị, góp phần cải thiện chất lượng không gian công cộng và diện mạo đô thị.</w:t>
      </w:r>
    </w:p>
    <w:p>
      <w:pPr>
        <w:keepLines/>
        <w:ind w:firstLine="312"/>
        <w:jc w:val="both"/>
      </w:pPr>
      <w:r>
        <w:rPr>
          <w:b w:val="0"/>
          <w:i w:val="0"/>
        </w:rPr>
        <w:t>- Cải tạo, chỉnh trang hệ thống thoát nước mưa, thoát nước thải: cải tạo, nâng cấp hệ thống thoát nước hiện có; rà soát tổng thể các tuyến mương, cống, hồ, ao và các điểm tiêu thoát nước để tổ chức hệ thống thoát nước phù hợp với điều kiện địa hình, hiện trạng dân cư và yêu cầu quy hoạch. Đối với các tuyến mương đất hiện hữu, căn cứ chức năng tiêu thoát, khả năng điều tiết nước và điều kiện thực tế để phân loại, lựa chọn giải pháp xử lý phù hợp như cải tạo, kiên cố hóa hoặc chuyển đổi thành tuyến cống. Từng bước đầu tư, hoàn thiện hệ thống thu gom nước thải đồng bộ trên toàn khu vực, kết nối các khu dân cư hiện hữu với hệ thống thu gom, xử lý nước thải được đầu tư tại các khu vực phát triển mới và tái thiết đô thị. Đây là hạng mục hạ tầng có tính chất liên kết toàn dự án, nhằm từng bước khắc phục tình trạng nước thải sinh hoạt chưa được thu gom, xử lý đồng bộ; hạn chế ô nhiễm các tuyến mương, hồ và nguồn tiếp nhận, góp phần cải thiện chất lượng môi trường và điều kiện sống của người dân.</w:t>
      </w:r>
    </w:p>
    <w:p>
      <w:pPr>
        <w:keepLines/>
        <w:ind w:firstLine="312"/>
        <w:jc w:val="both"/>
      </w:pPr>
      <w:r>
        <w:rPr>
          <w:b w:val="0"/>
          <w:i w:val="0"/>
        </w:rPr>
        <w:t>- Cải tạo, chỉnh trang các công trình phục vụ an sinh xã hội khác: cải tạo, nâng cấp, hoàn thiện các công trình phục vụ nhu cầu sinh hoạt cộng đồng như vườn hoa, công viên và các không gian công cộng khác theo quy hoạch và nhu cầu thực tế của khu vực.</w:t>
      </w:r>
    </w:p>
    <w:p>
      <w:pPr>
        <w:keepLines/>
        <w:ind w:firstLine="312"/>
        <w:jc w:val="both"/>
      </w:pPr>
      <w:r>
        <w:rPr>
          <w:b w:val="0"/>
          <w:i w:val="0"/>
        </w:rPr>
        <w:t>- Cải tạo, chỉnh trang các hệ thống hạ tầng kỹ thuật khác: rà soát, cải tạo và nâng cấp hạ tầng phòng cháy, chữa cháy và các công trình hạ tầng kỹ thuật thiết yếu khác, bảo đảm đồng bộ với hệ thống hạ tầng chung của khu vực, phù hợp với quy hoạch được duyệt và đáp ứng nhu cầu phát triển đô thị.</w:t>
      </w:r>
    </w:p>
    <w:p>
      <w:pPr>
        <w:pStyle w:val="BoldItem"/>
        <w:keepLines/>
        <w:jc w:val="both"/>
      </w:pPr>
      <w:r>
        <w:rPr>
          <w:b w:val="0"/>
          <w:i w:val="0"/>
        </w:rPr>
        <w:t>b) Quy mô cải tạo, chỉnh trang đô thị dự kiến:</w:t>
      </w:r>
    </w:p>
    <w:p>
      <w:pPr>
        <w:keepLines/>
        <w:ind w:firstLine="312"/>
        <w:jc w:val="both"/>
      </w:pPr>
      <w:r>
        <w:rPr>
          <w:b w:val="0"/>
          <w:i w:val="0"/>
        </w:rPr>
        <w:t>- Cải tạo và chỉnh trang các tuyến đường giao thông nội bộ (đường phân khu vực trở lên) với tổng chiều dài khoảng 21km với mặt cắt đường từ 2,5m-6m bao gồm các ngõ, ngách của một số tuyến đường Lĩnh Nam, Vĩnh Hưng, Đông Thiên, Nam Dư, Nguyễn Khoái, Thanh Lân, Thanh Đàm,...</w:t>
      </w:r>
    </w:p>
    <w:p>
      <w:pPr>
        <w:keepLines/>
        <w:ind w:firstLine="312"/>
        <w:jc w:val="both"/>
      </w:pPr>
      <w:r>
        <w:rPr>
          <w:b w:val="0"/>
          <w:i w:val="0"/>
        </w:rPr>
        <w:t>- Cải tạo, chỉnh trang vườn hoa, công viên và các công trình khác: Hồ Cần (khoảng 13.834m2); Hồ Ông Vực (khoảng 2.823m2); Đình thôn Thượng (khoảng 1.724m2); Đài tưởng niệm liệt sỹ (khoảng 800m2);...</w:t>
      </w:r>
    </w:p>
    <w:p>
      <w:pPr>
        <w:keepLines/>
        <w:ind w:firstLine="312"/>
        <w:jc w:val="both"/>
      </w:pPr>
      <w:r>
        <w:rPr>
          <w:b w:val="0"/>
          <w:i/>
        </w:rPr>
        <w:t>(Quy mô đầu tư, các chỉ tiêu quy hoạch kiến trúc sẽ được xác định chính xác tại Quy hoạch chi tiết tỷ lệ 1/500 và Báo cáo nghiên cứu khả thi dự án được cấp có thẩm quyền phê duyệt đảm bảo phù hợp với quy hoạch cấp trên và các quy định Tiêu chuẩn, Quy chuẩn kỹ thuật)</w:t>
      </w:r>
    </w:p>
    <w:p>
      <w:pPr>
        <w:pStyle w:val="BoldItem"/>
        <w:keepLines/>
        <w:jc w:val="both"/>
      </w:pPr>
      <w:r>
        <w:rPr>
          <w:b/>
        </w:rPr>
        <w:t>6. Vốn đầu tư:</w:t>
      </w:r>
      <w:r>
        <w:rPr>
          <w:b w:val="0"/>
        </w:rPr>
        <w:t xml:space="preserve"> Tổng vốn đầu tư khoảng 185.758,75 tỷ đồng (được xác định chính thức trong quá trình lập, thẩm định, phê duyệt dự án đầu tư theo quy định); trong đó vốn chủ sở hữu của nhà đầu tư 27.863,8125 tỷ đồng (chiếm 15%) và các nguồn vốn hợp pháp khác do nhà đầu tư huy động 157.894,9375 tỷ đồng (chiếm 85%).</w:t>
      </w:r>
    </w:p>
    <w:p>
      <w:r>
        <w:br w:type="page"/>
      </w:r>
    </w:p>
    <w:p>
      <w:pPr>
        <w:pStyle w:val="BoldItem"/>
        <w:keepLines/>
        <w:jc w:val="both"/>
      </w:pPr>
      <w:r>
        <w:rPr>
          <w:b/>
        </w:rPr>
        <w:t>7. Thời hạn hoạt động của dự án:</w:t>
      </w:r>
      <w:r>
        <w:rPr>
          <w:b w:val="0"/>
        </w:rPr>
        <w:t xml:space="preserve"> 50 năm kể từ ngày nhà đầu tư được quyết định giao đất, quyết định cho thuê đất, quyết định chuyển mục đích sử dụng đất.</w:t>
      </w:r>
    </w:p>
    <w:p>
      <w:pPr>
        <w:pStyle w:val="BoldItem"/>
        <w:keepLines/>
        <w:jc w:val="both"/>
      </w:pPr>
      <w:r>
        <w:rPr>
          <w:b/>
        </w:rPr>
        <w:t>8. Tiến độ thực hiện dự án:</w:t>
      </w:r>
      <w:r>
        <w:rPr>
          <w:b w:val="0"/>
        </w:rPr>
        <w:t xml:space="preserve"> Quý III/2026 đến Quý IV/2030.</w:t>
      </w:r>
    </w:p>
    <w:p>
      <w:pPr>
        <w:pStyle w:val="BoldItem"/>
        <w:keepLines/>
        <w:jc w:val="both"/>
      </w:pPr>
      <w:r>
        <w:rPr>
          <w:b/>
          <w:i w:val="0"/>
        </w:rPr>
        <w:t>9. Về cơ chế đầu tư, phương án quản lý, bàn giao, kinh doanh, khai thác các công trình tại dự án:</w:t>
      </w:r>
    </w:p>
    <w:p>
      <w:pPr>
        <w:keepLines/>
        <w:ind w:firstLine="312"/>
        <w:jc w:val="both"/>
      </w:pPr>
      <w:r>
        <w:rPr>
          <w:b w:val="0"/>
          <w:i w:val="0"/>
        </w:rPr>
        <w:t>- Đối với hệ thống công trình hạ tầng kỹ thuật (hệ thống giao thông, cấp nước, thoát nước, cấp điện, thông tin liên lạc,...): Nhà đầu tư đầu tư xây dựng đồng bộ các công trình theo quy hoạch chi tiết và dự án được phê duyệt; bàn giao cho Nhà nước, chính quyền địa phương quản lý theo quy định; có trách nhiệm duy tu, duy trì các công trình cho đến khi bàn giao cho chính quyền địa phương.</w:t>
      </w:r>
    </w:p>
    <w:p>
      <w:pPr>
        <w:keepLines/>
        <w:ind w:firstLine="312"/>
        <w:jc w:val="both"/>
      </w:pPr>
      <w:r>
        <w:rPr>
          <w:b w:val="0"/>
          <w:i w:val="0"/>
        </w:rPr>
        <w:t>- Đối với hệ thống công trình hạ tầng xã hội gồm cây xanh sử dụng công cộng (đô thị, đơn vị ở), công trình văn hóa, công trình trạm y tế: Nhà đầu tư đầu tư xây dựng đồng bộ theo quy hoạch chi tiết và dự án được phê duyệt; bàn giao cho Nhà nước, chính quyền địa phương quản lý theo quy định; có trách nhiệm duy tu, duy trì các công trình cho đến khi bàn giao cho chính quyền địa phương.</w:t>
      </w:r>
    </w:p>
    <w:p>
      <w:pPr>
        <w:keepLines/>
        <w:ind w:firstLine="312"/>
        <w:jc w:val="both"/>
      </w:pPr>
      <w:r>
        <w:rPr>
          <w:b w:val="0"/>
          <w:i w:val="0"/>
        </w:rPr>
        <w:t>- Đối với các công trình nhà ở thương mại, nhà ở xã hội, công trình giáo dục (trường liên cấp, trường THPT), công trình dịch vụ - thương mại, phần diện tích thương mại, bãi đỗ xe ngầm trong khu vực đất cây xanh sử dụng công cộng đơn vị ở và đất cây xanh sử dụng đô thị: Nhà đầu tư đầu tư xây dựng, quản lý, vận hành và khai thác theo quy định, bảo đảm hiệu quả đầu tư và đáp ứng mục tiêu của Dự án.</w:t>
      </w:r>
    </w:p>
    <w:p>
      <w:pPr>
        <w:keepLines/>
        <w:ind w:firstLine="312"/>
        <w:jc w:val="both"/>
      </w:pPr>
      <w:r>
        <w:rPr>
          <w:b w:val="0"/>
          <w:i w:val="0"/>
        </w:rPr>
        <w:t>- Đối với hệ thống hạ tầng đô thị ngoài ranh giới Dự án: Cơ quan nhà nước có thẩm quyền thực hiện đầu tư, quản lý, vận hành. Nhà đầu tư đầu tư xây dựng phần hạ tầng trong phạm vi Dự án, bảo đảm kết nối đồng bộ với hệ thống hạ tầng ngoài ranh giới Dự án, đáp ứng nhu cầu của Dự án và tuân thủ quy hoạch được cấp có thẩm quyền phê duyệt.</w:t>
      </w:r>
    </w:p>
    <w:p>
      <w:pPr>
        <w:keepLines/>
        <w:ind w:firstLine="312"/>
        <w:jc w:val="both"/>
      </w:pPr>
      <w:r>
        <w:rPr>
          <w:b w:val="0"/>
          <w:i w:val="0"/>
        </w:rPr>
        <w:t>- Đối với các công trình di tích, tôn giáo: Nhà đầu tư phối hợp chặt chẽ với các cơ quan quản lý chuyên ngành và chính quyền địa phương thực hiện đầy đủ việc khảo sát, rà soát, đánh giá chi tiết mức độ ảnh hưởng (nếu có) đối với các công trình di tích lịch sử - văn hóa; thực hiện đầy đủ trách nhiệm bảo tồn, tôn tạo và phục dựng các công trình di tích lịch sử - văn hóa theo đúng quy định của Luật Di sản văn hóa số 45/2024/QH15 ngày 23/11/2024, Nghị định số 208/2025/NĐ-CP ngày 17/7/2025 của Chính phủ và các quy định pháp luật có liên quan.</w:t>
      </w:r>
    </w:p>
    <w:p>
      <w:pPr>
        <w:pStyle w:val="BoldItem"/>
        <w:keepLines/>
        <w:jc w:val="both"/>
      </w:pPr>
      <w:r>
        <w:rPr>
          <w:b/>
          <w:i w:val="0"/>
        </w:rPr>
        <w:t>10. Về đảm bảo quốc phòng, an ninh:</w:t>
      </w:r>
    </w:p>
    <w:p>
      <w:pPr>
        <w:keepLines/>
        <w:ind w:firstLine="312"/>
        <w:jc w:val="both"/>
      </w:pPr>
      <w:r>
        <w:rPr>
          <w:b w:val="0"/>
          <w:i w:val="0"/>
        </w:rPr>
        <w:t>Trong quá trình triển khai Dự án, Nhà đầu tư phải tuân thủ các quy định của Luật Đầu tư, Luật Nhà ở, Luật Bảo vệ công trình quốc phòng và khu quân sự; Nghị định số 32/2016/NĐ-CP ngày 06/5/2016 của Chính phủ quy định về quản lý độ cao chướng ngại vật hàng không và các trận địa quản lý, bảo vệ vùng trời tại Việt Nam, được sửa đổi, bổ sung tại Nghị định số 101/2025/NĐ-CP ngày 9/5/2025 của Chính phủ; Nghị định số 163/2024/NĐ-CP ngày 24/12/2024 của Chính phủ quy định chi tiết một số điều và biện pháp thi hành Luật Viễn thông và các quy định pháp luật có liên quan.</w:t>
      </w:r>
    </w:p>
    <w:p>
      <w:r>
        <w:br w:type="page"/>
      </w:r>
    </w:p>
    <w:p>
      <w:pPr>
        <w:keepLines/>
        <w:ind w:firstLine="312"/>
        <w:jc w:val="both"/>
      </w:pPr>
      <w:r>
        <w:rPr>
          <w:b w:val="0"/>
          <w:i w:val="0"/>
        </w:rPr>
        <w:t>Nhà đầu tư có trách nhiệm phối hợp chặt chẽ với Bộ Tư lệnh Thủ đô Hà Nội, các đơn vị Quân đội đóng quân trên địa bàn và Ban Chỉ huy quân sự phường Vĩnh Hưng để xác định ranh giới, điều kiện bảo đảm quốc phòng, an ninh và giải quyết các vấn đề có liên quan, bảo đảm không ảnh hưởng đến nhiệm vụ quân sự, quốc phòng trên địa bàn. Đối với các vị trí đất an ninh của Bộ Công an, Công an thành phố Hà Nội nằm trong phạm vi Dự án: trường hợp Dự án chồng lấn vào đất an ninh hiện trạng thì ưu tiên giữ nguyên; trường hợp cần sử dụng đất an ninh thì phải có văn bản trao đổi, thống nhất với Bộ Công an, Công an thành phố Hà Nội để bố trí quỹ đất hoàn trả tương ứng theo quy định.</w:t>
      </w:r>
    </w:p>
    <w:p>
      <w:pPr>
        <w:pStyle w:val="BoldItem"/>
        <w:keepLines/>
        <w:jc w:val="both"/>
      </w:pPr>
      <w:r>
        <w:rPr>
          <w:b/>
          <w:i w:val="0"/>
        </w:rPr>
        <w:t>Điều 2. Tổ chức thực hiện</w:t>
      </w:r>
    </w:p>
    <w:p>
      <w:pPr>
        <w:pStyle w:val="BoldItem"/>
        <w:keepLines/>
        <w:jc w:val="both"/>
      </w:pPr>
      <w:r>
        <w:rPr>
          <w:b/>
          <w:i w:val="0"/>
        </w:rPr>
        <w:t>1. Trách nhiệm của Công ty TNHH Đầu tư Tập đoàn Mặt trời:</w:t>
      </w:r>
    </w:p>
    <w:p>
      <w:pPr>
        <w:keepLines/>
        <w:ind w:firstLine="312"/>
        <w:jc w:val="both"/>
      </w:pPr>
      <w:r>
        <w:rPr>
          <w:b w:val="0"/>
          <w:i w:val="0"/>
        </w:rPr>
        <w:t>- Chịu hoàn toàn trách nhiệm về tính chính xác, trung thực và tính hợp pháp của các thông tin, số liệu, tài liệu gửi kèm hồ sơ đề nghị chấp thuận chủ trương đầu tư đồng thời với chấp thuận nhà đầu tư.</w:t>
      </w:r>
    </w:p>
    <w:p>
      <w:pPr>
        <w:keepLines/>
        <w:ind w:firstLine="312"/>
        <w:jc w:val="both"/>
      </w:pPr>
      <w:r>
        <w:rPr>
          <w:b w:val="0"/>
          <w:i w:val="0"/>
        </w:rPr>
        <w:t>- Nghiên cứu, tiếp thu đầy đủ ý kiến thẩm định của các Sở, ngành Thành phố đối với hồ sơ đề nghị chấp thuận chủ trương đầu tư Dự án; phối hợp chặt chẽ với Sở Xây dựng, Sở Nông nghiệp và Môi trường, UBND phường Vĩnh Hưng và các cơ quan, đơn vị có liên quan để rà soát, củng cố, hoàn thiện hồ sơ, tài liệu về quy hoạch, dự án đầu tư để tổ chức lập, phê duyệt bảo đảm tuân thủ quy định của pháp luật về đầu tư, xây dựng, quy hoạch, đất đai, nhà ở, phòng cháy và chữa cháy, bảo vệ môi trường và các quy định pháp luật khác có liên quan; bảo đảm đúng quy hoạch được duyệt, đáp ứng mục tiêu đầu tư, an toàn, tiết kiệm, hiệu quả, tránh thất thoát, lãng phí.</w:t>
      </w:r>
    </w:p>
    <w:p>
      <w:pPr>
        <w:keepLines/>
        <w:ind w:firstLine="312"/>
        <w:jc w:val="both"/>
      </w:pPr>
      <w:r>
        <w:rPr>
          <w:b w:val="0"/>
          <w:i w:val="0"/>
        </w:rPr>
        <w:t>- Chỉ được triển khai thực hiện Dự án sau khi hoàn thành đầy đủ các thủ tục và nghĩa vụ theo quy định của pháp luật về đầu tư, xây dựng, quy hoạch, đất đai, nhà ở, phòng cháy và chữa cháy, bảo vệ môi trường và các quy định pháp luật khác có liên quan.</w:t>
      </w:r>
    </w:p>
    <w:p>
      <w:pPr>
        <w:keepLines/>
        <w:ind w:firstLine="312"/>
        <w:jc w:val="both"/>
      </w:pPr>
      <w:r>
        <w:rPr>
          <w:b w:val="0"/>
          <w:i w:val="0"/>
        </w:rPr>
        <w:t>- Triển khai Dự án theo đúng quy hoạch chi tiết được duyệt, bảo đảm đáp ứng mục tiêu đầu tư; việc kinh doanh các sản phẩm nhà ở của Dự án phải phù hợp với Chương trình phát triển nhà ở thành phố Hà Nội, Kế hoạch phát triển nhà ở được UBND Thành phố phê duyệt, quy định của pháp luật về nhà ở và các quy định pháp luật có liên quan; thực hiện đầy đủ trách nhiệm phát triển nhà ở xã hội của Dự án theo quy định.</w:t>
      </w:r>
    </w:p>
    <w:p>
      <w:pPr>
        <w:keepLines/>
        <w:ind w:firstLine="312"/>
        <w:jc w:val="both"/>
      </w:pPr>
      <w:r>
        <w:rPr>
          <w:b w:val="0"/>
          <w:i w:val="0"/>
        </w:rPr>
        <w:t>- Bảo đảm đầu tư hoàn thành hệ thống hạ tầng kỹ thuật trước khi triển khai đầu tư các công trình trên đất; hoàn thành các công trình hạ tầng xã hội, vườn hoa, cây xanh, nhà trẻ và các công trình thiết yếu khác trước khi đưa khu vực nhà ở vào sử dụng, bảo đảm đáp ứng nhu cầu của người dân. Phối hợp với các cơ quan, đơn vị liên quan để khớp nối đồng bộ hạ tầng kỹ thuật khu vực theo quy hoạch được duyệt; phối hợp với chính quyền địa phương rà soát, bố trí đủ trường học đáp ứng nhu cầu của người dân trong khu vực.</w:t>
      </w:r>
    </w:p>
    <w:p>
      <w:r>
        <w:br w:type="page"/>
      </w:r>
    </w:p>
    <w:p>
      <w:pPr>
        <w:keepLines/>
        <w:ind w:firstLine="312"/>
        <w:jc w:val="both"/>
      </w:pPr>
      <w:r>
        <w:rPr>
          <w:b w:val="0"/>
          <w:i w:val="0"/>
        </w:rPr>
        <w:t>- Nghiên cứu, đầu tư hệ thống thu gom và xử lý nước thải, bảo đảm đạt tiêu chuẩn, quy chuẩn về môi trường trước khi xả vào hệ thống thoát nước chung của khu vực; hoàn thành đầu tư xây dựng các công trình hạ tầng kỹ thuật, hạ tầng xã hội theo quy hoạch được duyệt trước khi đưa các công trình nhà ở vào sử dụng, bảo đảm điều kiện phục vụ người dân.</w:t>
      </w:r>
    </w:p>
    <w:p>
      <w:pPr>
        <w:keepLines/>
        <w:ind w:firstLine="312"/>
        <w:jc w:val="both"/>
      </w:pPr>
      <w:r>
        <w:rPr>
          <w:b w:val="0"/>
          <w:i w:val="0"/>
        </w:rPr>
        <w:t>- Nghiên cứu, áp dụng công nghệ tiên tiến, thân thiện với môi trường, công nghệ xanh, công nghệ tiết kiệm năng lượng trong toàn bộ vòng đời Dự án, từ khâu thiết kế, xây dựng đến vận hành, khai thác và sử dụng; thực hiện tiết kiệm năng lượng trong các tòa nhà và hệ thống chiếu sáng đô thị của Dự án; khuyến khích áp dụng các hệ thống tiêu chuẩn công trình xanh trong thiết kế, xây dựng, công trình như Lotus, LEED, EDGE, Green Mark và các tiêu chuẩn phù hợp đang được áp dụng tại Việt Nam.</w:t>
      </w:r>
    </w:p>
    <w:p>
      <w:pPr>
        <w:keepLines/>
        <w:ind w:firstLine="312"/>
        <w:jc w:val="both"/>
      </w:pPr>
      <w:r>
        <w:rPr>
          <w:b w:val="0"/>
          <w:i w:val="0"/>
        </w:rPr>
        <w:t>- Chủ động liên hệ các cơ quan, đơn vị quản lý chuyên ngành để thực hiện các nội dung thỏa thuận đấu nối về cấp nước, thoát nước, cấp điện, tĩnh không, môi trường và các nội dung liên quan; tuân thủ quy chuẩn, tiêu chuẩn chuyên ngành; phối hợp chặt chẽ với chính quyền địa phương bảo đảm khớp nối đồng bộ, tổng thể của Dự án với khu vực xung quanh theo quy hoạch.</w:t>
      </w:r>
    </w:p>
    <w:p>
      <w:pPr>
        <w:keepLines/>
        <w:ind w:firstLine="312"/>
        <w:jc w:val="both"/>
      </w:pPr>
      <w:r>
        <w:rPr>
          <w:b w:val="0"/>
          <w:i w:val="0"/>
        </w:rPr>
        <w:t>- Lập phương án quản lý, sử dụng, khai thác, vận hành công trình tuân thủ Luật Nhà ở, các Nghị định hướng dẫn, quy định của Bộ Xây dựng và Thành phố về quản lý, vận hành nhà chung cư; xác định rõ diện tích sở hữu chung, sở hữu riêng làm cơ sở quản lý, vận hành sau đầu tư và thể hiện trong hợp đồng mua bán nhà ở, hạn chế phát sinh tranh chấp, khiếu kiện. Xây dựng quy trình bảo trì công trình và thực hiện bảo hành, bảo trì theo đúng quy định của pháp luật về nhà ở và pháp luật về quản lý chất lượng công trình.</w:t>
      </w:r>
    </w:p>
    <w:p>
      <w:pPr>
        <w:keepLines/>
        <w:ind w:firstLine="312"/>
        <w:jc w:val="both"/>
      </w:pPr>
      <w:r>
        <w:rPr>
          <w:b w:val="0"/>
          <w:i w:val="0"/>
        </w:rPr>
        <w:t>- Bảo đảm bố trí đủ vốn chủ sở hữu tham gia thực hiện Dự án trong suốt quá trình triển khai đầu tư theo quy định; việc huy động vốn để thực hiện Dự án phải tuân thủ đúng quy định của pháp luật.</w:t>
      </w:r>
    </w:p>
    <w:p>
      <w:pPr>
        <w:keepLines/>
        <w:ind w:firstLine="312"/>
        <w:jc w:val="both"/>
      </w:pPr>
      <w:r>
        <w:rPr>
          <w:b w:val="0"/>
          <w:i w:val="0"/>
        </w:rPr>
        <w:t>- Liên hệ Sở Tài chính để được hướng dẫn thực hiện thủ tục ký quỹ bảo đảm thực hiện Dự án theo quy định.</w:t>
      </w:r>
    </w:p>
    <w:p>
      <w:pPr>
        <w:keepLines/>
        <w:ind w:firstLine="312"/>
        <w:jc w:val="both"/>
      </w:pPr>
      <w:r>
        <w:rPr>
          <w:b w:val="0"/>
          <w:i w:val="0"/>
        </w:rPr>
        <w:t>- Thực hiện đầy đủ chế độ báo cáo tình hình hoạt động đầu tư theo quy định của Luật Đầu tư, các văn bản hướng dẫn có liên quan và chỉ đạo của UBND Thành phố; thực hiện chế độ giám sát, đánh giá đầu tư và báo cáo theo đúng quy định của pháp luật.</w:t>
      </w:r>
    </w:p>
    <w:p>
      <w:pPr>
        <w:pStyle w:val="BoldItem"/>
        <w:keepLines/>
        <w:jc w:val="both"/>
      </w:pPr>
      <w:r>
        <w:rPr>
          <w:b/>
          <w:i w:val="0"/>
        </w:rPr>
        <w:t>2. Trách nhiệm các Sở ngành Thành phố và các đơn vị có liên quan:</w:t>
      </w:r>
    </w:p>
    <w:p>
      <w:pPr>
        <w:pStyle w:val="BoldItem"/>
        <w:keepLines/>
        <w:jc w:val="both"/>
      </w:pPr>
      <w:r>
        <w:rPr>
          <w:b w:val="0"/>
          <w:i w:val="0"/>
        </w:rPr>
        <w:t>a) Sở Xây dựng:</w:t>
      </w:r>
    </w:p>
    <w:p>
      <w:pPr>
        <w:keepLines/>
        <w:ind w:firstLine="312"/>
        <w:jc w:val="both"/>
      </w:pPr>
      <w:r>
        <w:rPr>
          <w:b w:val="0"/>
          <w:i w:val="0"/>
        </w:rPr>
        <w:t>- Chủ trì, hướng dẫn Nhà đầu tư lập Quy hoạch chi tiết tỷ lệ 1/500 của Dự án làm cơ sở thực hiện các thủ tục lập, thẩm định, phê duyệt dự án đầu tư theo quy định của pháp luật về xây dựng; bảo đảm phù hợp với quy hoạch cấp trên, đáp ứng mục tiêu đầu tư, yêu cầu về hạ tầng kỹ thuật, hạ tầng xã hội và hiệu quả đầu tư, việc rà soát, xử lý các dự án chồng lấn, bảo đảm quyền và lợi ích hợp</w:t>
      </w:r>
    </w:p>
    <w:p>
      <w:r>
        <w:br w:type="page"/>
      </w:r>
    </w:p>
    <w:p>
      <w:pPr>
        <w:keepLines/>
        <w:ind w:firstLine="0"/>
        <w:jc w:val="both"/>
      </w:pPr>
      <w:r>
        <w:rPr>
          <w:b w:val="0"/>
          <w:i w:val="0"/>
        </w:rPr>
        <w:t>pháp của Nhà nước, người dân và doanh nghiệp trong quá trình triển khai; lưu ý thực hiện đầy đủ quy trình lấy ý kiến về phương án quy hoạch theo quy định.</w:t>
      </w:r>
    </w:p>
    <w:p>
      <w:pPr>
        <w:keepLines/>
        <w:ind w:firstLine="312"/>
        <w:jc w:val="both"/>
      </w:pPr>
      <w:r>
        <w:rPr>
          <w:b w:val="0"/>
          <w:i w:val="0"/>
        </w:rPr>
        <w:t>- Chủ trì, phối hợp với Sở Nông nghiệp và Môi trường và các cơ quan, đơn vị có liên quan hướng dẫn, kiểm tra Nhà đầu tư thực hiện lập, thẩm định, phê duyệt dự án đầu tư theo quy định của pháp luật về xây dựng; bảo đảm phù hợp với quy hoạch được duyệt, đáp ứng mục tiêu đầu tư và tuân thủ quy định của pháp luật về đầu tư, xây dựng, quy hoạch, đất đai, nhà ở, phòng cháy và chữa cháy, bảo vệ môi trường và các quy định pháp luật khác có liên quan.</w:t>
      </w:r>
    </w:p>
    <w:p>
      <w:pPr>
        <w:keepLines/>
        <w:ind w:firstLine="312"/>
        <w:jc w:val="both"/>
      </w:pPr>
      <w:r>
        <w:rPr>
          <w:b w:val="0"/>
          <w:i w:val="0"/>
        </w:rPr>
        <w:t>- Căn cứ ý kiến của Bộ Quốc phòng, Bộ Công an, hướng dẫn, kiểm tra Nhà đầu tư thực hiện đúng các quy định của pháp luật về xây dựng nhà ở, kinh doanh bất động sản khi thực hiện dự án; hướng dẫn việc đầu tư xây dựng nhà ở, kinh doanh bất động sản, giao dịch mua bán nhà ở theo quy định; việc bố trí, đầu tư, bán, cho thuê, cho thuê mua nhà ở xã hội bảo đảm đúng quy định.</w:t>
      </w:r>
    </w:p>
    <w:p>
      <w:pPr>
        <w:keepLines/>
        <w:ind w:firstLine="312"/>
        <w:jc w:val="both"/>
      </w:pPr>
      <w:r>
        <w:rPr>
          <w:b w:val="0"/>
          <w:i w:val="0"/>
        </w:rPr>
        <w:t>- Cập nhật Dự án trong Kế hoạch phát triển nhà ở giai đoạn 2026 - 2030 của Thành phố; hướng dẫn Nhà đầu tư xác định diện tích sở hữu chung, sở hữu riêng, lập phương án quản lý, vận hành sau đầu tư và thực hiện các nội dung liên quan đến giao dịch mua bán nhà ở theo quy định.</w:t>
      </w:r>
    </w:p>
    <w:p>
      <w:pPr>
        <w:keepLines/>
        <w:ind w:firstLine="312"/>
        <w:jc w:val="both"/>
      </w:pPr>
      <w:r>
        <w:rPr>
          <w:b w:val="0"/>
          <w:i w:val="0"/>
        </w:rPr>
        <w:t>- Theo dõi, kiểm tra việc đầu tư xây dựng theo tiến độ được duyệt, bảo đảm tính đồng bộ của Dự án; hướng dẫn, kiểm tra việc đầu tư, quản lý, khai thác và bàn giao các hạng mục công trình hạ tầng kỹ thuật, hạ tầng xã hội của Dự án theo đúng quy định pháp luật.</w:t>
      </w:r>
    </w:p>
    <w:p>
      <w:pPr>
        <w:keepLines/>
        <w:ind w:firstLine="312"/>
        <w:jc w:val="both"/>
      </w:pPr>
      <w:r>
        <w:rPr>
          <w:b w:val="0"/>
          <w:i w:val="0"/>
        </w:rPr>
        <w:t>- Phối hợp với Sở Nông nghiệp và Môi trường kiểm tra, hướng dẫn UBND phường Vĩnh Hưng thực hiện công tác bồi thường, hỗ trợ, tạm cư, tái định cư theo đúng cơ chế, chính sách và quy định của pháp luật.</w:t>
      </w:r>
    </w:p>
    <w:p>
      <w:pPr>
        <w:pStyle w:val="BoldItem"/>
        <w:keepLines/>
        <w:jc w:val="both"/>
      </w:pPr>
      <w:r>
        <w:rPr>
          <w:b w:val="0"/>
          <w:i w:val="0"/>
        </w:rPr>
        <w:t>b) Sở Văn hóa, Thể thao và Du lịch: Hướng dẫn, kiểm tra và phối hợp với Nhà đầu tư, UBND phường Vĩnh Hưng và các cơ quan, đơn vị có liên quan thực hiện đầy đủ công tác bảo tồn, tôn tạo, phục dựng các công trình di tích lịch sử - văn hóa theo đúng quy định của Luật Di sản văn hóa số 45/2024/QH15 ngày 23/11/2024, Nghị định số 208/2025/NĐ-CP ngày 17/7/2025 của Chính phủ và các quy định pháp luật có liên quan.</w:t>
      </w:r>
    </w:p>
    <w:p>
      <w:pPr>
        <w:pStyle w:val="BoldItem"/>
        <w:keepLines/>
        <w:jc w:val="both"/>
      </w:pPr>
      <w:r>
        <w:rPr>
          <w:b w:val="0"/>
          <w:i w:val="0"/>
        </w:rPr>
        <w:t>c) Sở Nông nghiệp và Môi trường:</w:t>
      </w:r>
    </w:p>
    <w:p>
      <w:pPr>
        <w:keepLines/>
        <w:ind w:firstLine="312"/>
        <w:jc w:val="both"/>
      </w:pPr>
      <w:r>
        <w:rPr>
          <w:b w:val="0"/>
          <w:i w:val="0"/>
        </w:rPr>
        <w:t>- Hướng dẫn Nhà đầu tư thực hiện các thủ tục về đất đai, môi trường theo từng giai đoạn, phù hợp với tiến độ hoàn thành công tác giải phóng mặt bằng của Dự án, bảo đảm triển khai Dự án đúng tiến độ và tuân thủ quy định pháp luật.</w:t>
      </w:r>
    </w:p>
    <w:p>
      <w:pPr>
        <w:keepLines/>
        <w:ind w:firstLine="312"/>
        <w:jc w:val="both"/>
      </w:pPr>
      <w:r>
        <w:rPr>
          <w:b w:val="0"/>
          <w:i w:val="0"/>
        </w:rPr>
        <w:t>- Tham mưu UBND Thành phố xem xét, quyết định giao đất, cho thuê đất để thực hiện Dự án sau khi Quy hoạch chi tiết tỷ lệ 1/500 được cấp có thẩm quyền phê duyệt và Nhà đầu tư hoàn thành đầy đủ các thủ tục, đáp ứng điều kiện giao đất, cho thuê đất theo quy định.</w:t>
      </w:r>
    </w:p>
    <w:p>
      <w:pPr>
        <w:keepLines/>
        <w:ind w:firstLine="312"/>
        <w:jc w:val="both"/>
      </w:pPr>
      <w:r>
        <w:rPr>
          <w:b w:val="0"/>
          <w:i w:val="0"/>
        </w:rPr>
        <w:t>- Chủ trì, phối hợp với Sở Xây dựng kiểm tra, hướng dẫn UBND phường Vĩnh Hưng thực hiện công tác bồi thường, hỗ trợ, tạm cư, tái định cư theo đúng cơ chế, chính sách và quy định pháp luật.</w:t>
      </w:r>
    </w:p>
    <w:p>
      <w:r>
        <w:br w:type="page"/>
      </w:r>
    </w:p>
    <w:p>
      <w:pPr>
        <w:keepLines/>
        <w:ind w:firstLine="312"/>
        <w:jc w:val="both"/>
      </w:pPr>
      <w:r>
        <w:rPr>
          <w:b w:val="0"/>
          <w:i w:val="0"/>
        </w:rPr>
        <w:t>- Chủ trì, phối hợp với các cơ quan, đơn vị có liên quan rà soát, tham mưu phương án xử lý đối với các khu đất thực hiện theo Nghị quyết số 171/2024/QH15 chồng lấn trong phạm vi Dự án, bảo đảm quyền và lợi ích hợp pháp của các tổ chức, cá nhân có liên quan.</w:t>
      </w:r>
    </w:p>
    <w:p>
      <w:pPr>
        <w:pStyle w:val="BoldItem"/>
        <w:keepLines/>
        <w:jc w:val="both"/>
      </w:pPr>
      <w:r>
        <w:rPr>
          <w:b w:val="0"/>
          <w:i w:val="0"/>
        </w:rPr>
        <w:t>d) Sở Tài chính:</w:t>
      </w:r>
    </w:p>
    <w:p>
      <w:pPr>
        <w:keepLines/>
        <w:ind w:firstLine="312"/>
        <w:jc w:val="both"/>
      </w:pPr>
      <w:r>
        <w:rPr>
          <w:b w:val="0"/>
          <w:i w:val="0"/>
        </w:rPr>
        <w:t>- Kiểm tra, hướng dẫn Nhà đầu tư thực hiện thủ tục ký quỹ bảo đảm thực hiện Dự án theo quy định; theo dõi, kiểm tra, giám sát, đánh giá đầu tư theo quy định của pháp luật về giám sát, đánh giá đầu tư.</w:t>
      </w:r>
    </w:p>
    <w:p>
      <w:pPr>
        <w:keepLines/>
        <w:ind w:firstLine="312"/>
        <w:jc w:val="both"/>
      </w:pPr>
      <w:r>
        <w:rPr>
          <w:b w:val="0"/>
          <w:i w:val="0"/>
        </w:rPr>
        <w:t>- Chủ trì, phối hợp với các cơ quan, đơn vị có liên quan rà soát, tham mưu phương án xử lý đối với các dự án BT chồng lấn trong phạm vi Dự án trên cơ sở tình trạng pháp lý, hợp đồng đã ký kết, chi phí đã thực hiện, phương án thanh toán, quỹ đất đối ứng và các quyền, nghĩa vụ của Nhà nước, Nhà đầu tư theo quy định.</w:t>
      </w:r>
    </w:p>
    <w:p>
      <w:pPr>
        <w:keepLines/>
        <w:ind w:firstLine="312"/>
        <w:jc w:val="both"/>
      </w:pPr>
      <w:r>
        <w:rPr>
          <w:b w:val="0"/>
          <w:i w:val="0"/>
        </w:rPr>
        <w:t>đ) UBND phường Vĩnh Hưng:</w:t>
      </w:r>
    </w:p>
    <w:p>
      <w:pPr>
        <w:keepLines/>
        <w:ind w:firstLine="312"/>
        <w:jc w:val="both"/>
      </w:pPr>
      <w:r>
        <w:rPr>
          <w:b w:val="0"/>
          <w:i w:val="0"/>
        </w:rPr>
        <w:t>- Thực hiện kiểm tra, giám sát, hướng dẫn và giải quyết các thủ tục thuộc thẩm quyền; chỉ cho phép Nhà đầu tư triển khai các hạng mục công trình sau khi hoàn thành đầy đủ các thủ tục theo quy định; kịp thời giải quyết hoặc báo cáo cấp có thẩm quyền giải quyết những khó khăn, vướng mắc của Dự án thuộc phạm vi, địa bàn quản lý.</w:t>
      </w:r>
    </w:p>
    <w:p>
      <w:pPr>
        <w:keepLines/>
        <w:ind w:firstLine="312"/>
        <w:jc w:val="both"/>
      </w:pPr>
      <w:r>
        <w:rPr>
          <w:b w:val="0"/>
          <w:i w:val="0"/>
        </w:rPr>
        <w:t>- Tiếp tục rà soát, báo cáo, đề xuất phương án xử lý đối với các dự án đầu tư công, các khu đất và dự án khác có phạm vi chồng lấn trong phạm vi Dự án.</w:t>
      </w:r>
    </w:p>
    <w:p>
      <w:pPr>
        <w:keepLines/>
        <w:ind w:firstLine="312"/>
        <w:jc w:val="both"/>
      </w:pPr>
      <w:r>
        <w:rPr>
          <w:b w:val="0"/>
          <w:i w:val="0"/>
        </w:rPr>
        <w:t>- Chủ trì, phối hợp với các cơ quan, đơn vị có liên quan rà soát, xác định: (1) nguồn gốc, quá trình và hiện trạng quản lý, sử dụng đất đối với khu đất đề xuất thực hiện Dự án; (2) Diện tích ao, hồ nằm trong phạm vi khu đất đề xuất Dự án không thuộc danh mục hồ, ao, đầm không được san lấp trên địa bàn Thành phố được UBND Thành phố phê duyệt tại Quyết định số 1614/QĐ-UBND ngày 20/3/2023, được điều chỉnh, bổ sung tại Quyết định số 2423/QĐ-UBND ngày 14/5/2025 và không thuộc trường hợp bị cấm san lấp theo quy định tại khoản 1 Điều 56 Nghị định số 53/2024/NĐ-CP ngày 16/5/2024 của Chính phủ; (3) các công trình ngầm, công trình nổi có liên quan đến Dự án, phương án di dời, hoàn trả (nếu có), nhu cầu tái định cư (nếu có), bảo đảm tuân thủ quy định của pháp luật về đất đai và quy định hiện hành của Thành phố.</w:t>
      </w:r>
    </w:p>
    <w:p>
      <w:pPr>
        <w:keepLines/>
        <w:ind w:firstLine="312"/>
        <w:jc w:val="both"/>
      </w:pPr>
      <w:r>
        <w:rPr>
          <w:b w:val="0"/>
          <w:i w:val="0"/>
        </w:rPr>
        <w:t>- Chủ động giải quyết hoặc báo cáo cấp có thẩm quyền giải quyết các khó khăn, vướng mắc phát sinh trong công tác giải phóng mặt bằng, không để ảnh hưởng đến tiến độ chung của Dự án.</w:t>
      </w:r>
    </w:p>
    <w:p>
      <w:pPr>
        <w:keepLines/>
        <w:ind w:firstLine="312"/>
        <w:jc w:val="both"/>
      </w:pPr>
      <w:r>
        <w:rPr>
          <w:b w:val="0"/>
          <w:i w:val="0"/>
        </w:rPr>
        <w:t>- Thực hiện theo dõi, kiểm tra giám sát, đánh giá đầu tư theo quy định của pháp luật thuộc phạm vi, địa bàn quản lý theo quy định.</w:t>
      </w:r>
    </w:p>
    <w:p>
      <w:pPr>
        <w:pStyle w:val="BoldItem"/>
        <w:keepLines/>
        <w:jc w:val="both"/>
      </w:pPr>
      <w:r>
        <w:rPr>
          <w:b w:val="0"/>
          <w:i w:val="0"/>
        </w:rPr>
        <w:t>e) Các Sở ngành Thành phố và các cơ quan, đơn vị có liên quan căn cứ chức năng, nhiệm vụ được giao:</w:t>
      </w:r>
    </w:p>
    <w:p>
      <w:pPr>
        <w:keepLines/>
        <w:ind w:firstLine="312"/>
        <w:jc w:val="both"/>
      </w:pPr>
      <w:r>
        <w:rPr>
          <w:b w:val="0"/>
          <w:i w:val="0"/>
        </w:rPr>
        <w:t>- Thực hiện kiểm tra, hướng dẫn và giải quyết các thủ tục có liên quan; chủ động phối hợp, kịp thời giải quyết hoặc báo cáo cấp có thẩm quyền giải quyết các khó khăn, vướng mắc của Dự án thuộc phạm vi chức năng, nhiệm vụ được giao.</w:t>
      </w:r>
    </w:p>
    <w:p>
      <w:r>
        <w:br w:type="page"/>
      </w:r>
    </w:p>
    <w:p>
      <w:pPr>
        <w:keepLines/>
        <w:ind w:firstLine="312"/>
        <w:jc w:val="both"/>
      </w:pPr>
      <w:r>
        <w:rPr>
          <w:b w:val="0"/>
          <w:i w:val="0"/>
        </w:rPr>
        <w:t>- Thực hiện theo dõi, kiểm tra, giám sát, đánh giá đầu tư và quản lý chuyên ngành theo quy định của pháp luật.</w:t>
      </w:r>
    </w:p>
    <w:p>
      <w:pPr>
        <w:pStyle w:val="BoldItem"/>
        <w:keepLines/>
        <w:jc w:val="both"/>
      </w:pPr>
      <w:r>
        <w:rPr>
          <w:b/>
          <w:i w:val="0"/>
        </w:rPr>
        <w:t>Điều 3. Điều khoản thi hành</w:t>
      </w:r>
    </w:p>
    <w:p>
      <w:pPr>
        <w:pStyle w:val="BoldItem"/>
        <w:keepLines/>
        <w:jc w:val="both"/>
      </w:pPr>
      <w:r>
        <w:rPr>
          <w:b w:val="0"/>
          <w:i w:val="0"/>
        </w:rPr>
        <w:t>1. Quyết định chấp thuận chủ trương đầu tư đồng thời với chấp thuận nhà đầu tư này có hiệu lực kể từ ngày ký.</w:t>
      </w:r>
    </w:p>
    <w:p>
      <w:pPr>
        <w:pStyle w:val="BoldItem"/>
        <w:keepLines/>
        <w:jc w:val="both"/>
      </w:pPr>
      <w:r>
        <w:rPr>
          <w:b w:val="0"/>
          <w:i w:val="0"/>
        </w:rPr>
        <w:t>2. Chánh Văn phòng UBND Thành phố; Giám đốc các Sở, ngành Thành phố: Tài chính, Nông nghiệp và Môi trường, Xây dựng, Văn hóa, Thể thao và Du lịch, Công thương, Tư pháp; Trưởng Thuế thành phố Hà Nội; Bộ Tư lệnh Thủ đô; Công an thành phố Hà Nội; Chủ tịch UBND phường Vĩnh Hưng; Người đại diện theo pháp luật của Công ty TNHH Đầu tư Tập đoàn Mặt trời và Thủ trưởng các cơ quan, đơn vị có liên quan chịu trách nhiệm thi hành Quyết định này.</w:t>
      </w:r>
    </w:p>
    <w:p>
      <w:pPr>
        <w:keepLines/>
        <w:ind w:firstLine="312"/>
        <w:jc w:val="both"/>
      </w:pPr>
      <w:r>
        <w:rPr>
          <w:b w:val="0"/>
          <w:i w:val="0"/>
        </w:rPr>
        <w:t>3. Quyết định này được gửi cho Công ty TNHH Đầu tư Tập đoàn Mặt trời và một bản được lưu tại UBND thành phố Hà Nội./.</w:t>
      </w:r>
    </w:p>
    <w:tbl>
      <w:tblPr>
        <w:tblW w:type="auto" w:w="0"/>
        <w:tblLayout w:type="fixed"/>
        <w:tblLook w:firstColumn="1" w:firstRow="1" w:lastColumn="0" w:lastRow="0" w:noHBand="0" w:noVBand="1" w:val="04A0"/>
      </w:tblPr>
      <w:tblGrid>
        <w:gridCol w:w="5102"/>
        <w:gridCol w:w="3713"/>
      </w:tblGrid>
      <w:tr>
        <w:tc>
          <w:tcPr>
            <w:tcW w:type="dxa" w:w="4408"/>
          </w:tcPr>
          <w:p>
            <w:pPr>
              <w:spacing w:before="0" w:after="0" w:line="240" w:lineRule="auto"/>
              <w:ind w:firstLine="0"/>
            </w:pPr>
            <w:r>
              <w:rPr>
                <w:b/>
                <w:i/>
                <w:sz w:val="20"/>
              </w:rPr>
              <w:t>Nơi nhận:</w:t>
            </w:r>
            <w:r>
              <w:rPr>
                <w:sz w:val="20"/>
              </w:rPr>
              <w:br/>
              <w:t>- Như Điều 3;</w:t>
              <w:br/>
              <w:t>- Chủ tịch UBND Thành phố;</w:t>
              <w:br/>
              <w:t>- Các PCT UBND TP;</w:t>
              <w:br/>
              <w:t>- VP UBNDTP: CVP, các PCVP,</w:t>
              <w:br/>
              <w:t xml:space="preserve">   Các phòng ĐT, NNMT, TH;</w:t>
              <w:br/>
              <w:t>- Trung tâm PVHCC TPHN – CN số 04;</w:t>
              <w:br/>
              <w:t>- Lưu: VT, ĐT.</w:t>
              <w:br/>
              <w:t>MHS: H26.13-260707-0005</w:t>
            </w:r>
          </w:p>
        </w:tc>
        <w:tc>
          <w:tcPr>
            <w:tcW w:type="dxa" w:w="4408"/>
          </w:tcPr>
          <w:p>
            <w:pPr>
              <w:spacing w:before="0" w:after="0" w:line="240" w:lineRule="auto"/>
              <w:ind w:firstLine="0"/>
              <w:jc w:val="center"/>
            </w:pPr>
            <w:r>
              <w:rPr>
                <w:b/>
                <w:sz w:val="24"/>
              </w:rPr>
              <w:t>CHỦ TỊCH</w:t>
              <w:br/>
              <w:br/>
              <w:br/>
              <w:br/>
              <w:t>Vũ Đại Thắng</w:t>
            </w:r>
          </w:p>
        </w:tc>
      </w:tr>
    </w:tbl>
    <w:sectPr w:rsidR="00FC693F" w:rsidRPr="0006063C" w:rsidSect="00034616">
      <w:footerReference w:type="default" r:id="rId9"/>
      <w:headerReference w:type="default" r:id="rId10"/>
      <w:pgSz w:w="11906" w:h="16838"/>
      <w:pgMar w:top="1134" w:right="1332" w:bottom="1020" w:left="175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ldItem">
    <w:name w:val="BoldItem"/>
    <w:basedOn w:val="Normal"/>
    <w:rPr>
      <w:rFonts w:ascii="Times New Roman" w:hAnsi="Times New Roman"/>
      <w:b/>
      <w:sz w:val="24"/>
    </w:rPr>
  </w:style>
  <w:style w:type="paragraph" w:customStyle="1" w:styleId="CenterTitle">
    <w:name w:val="CenterTitle"/>
    <w:basedOn w:val="Normal"/>
    <w:rPr>
      <w:rFonts w:ascii="Times New Roman" w:hAnsi="Times New Roman"/>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