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880" w:leader="none"/>
          <w:tab w:val="left" w:pos="5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880" w:leader="none"/>
          <w:tab w:val="left" w:pos="5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880" w:leader="none"/>
          <w:tab w:val="left" w:pos="5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ố: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HPG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20170153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………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</w:t>
      </w:r>
    </w:p>
    <w:p>
      <w:pPr>
        <w:tabs>
          <w:tab w:val="left" w:pos="4880" w:leader="none"/>
          <w:tab w:val="left" w:pos="5720" w:leader="none"/>
          <w:tab w:val="left" w:pos="10350" w:leader="none"/>
        </w:tabs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ải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òng, Ngày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……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tháng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……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2021</w:t>
      </w:r>
    </w:p>
    <w:p>
      <w:pPr>
        <w:tabs>
          <w:tab w:val="left" w:pos="90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00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Ề NGHỊ GIẢI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ÂN KIÊM 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Ế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ỚC NHẬN NỢ </w:t>
      </w:r>
    </w:p>
    <w:p>
      <w:pPr>
        <w:tabs>
          <w:tab w:val="left" w:pos="900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Kính 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ửi: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ân hàng TMCP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ỹ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ương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ệt Nam - Chi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ánh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ải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òng</w:t>
      </w:r>
    </w:p>
    <w:p>
      <w:pPr>
        <w:tabs>
          <w:tab w:val="left" w:pos="41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ăn c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ứ 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ào 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ồng cấp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ín d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ụng số HPG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20170153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/H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ĐTD ng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17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02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2017</w:t>
      </w:r>
      <w:r>
        <w:rPr>
          <w:rFonts w:ascii="Times New Roman" w:hAnsi="Times New Roman" w:cs="Times New Roman" w:eastAsia="Times New Roman"/>
          <w:i/>
          <w:color w:val="0000CC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ữa </w:t>
      </w:r>
      <w:r>
        <w:rPr>
          <w:rFonts w:ascii="Times New Roman" w:hAnsi="Times New Roman" w:cs="Times New Roman" w:eastAsia="Times New Roman"/>
          <w:i/>
          <w:color w:val="0000CC"/>
          <w:spacing w:val="0"/>
          <w:position w:val="0"/>
          <w:sz w:val="24"/>
          <w:shd w:fill="auto" w:val="clear"/>
        </w:rPr>
        <w:t xml:space="preserve"> Ng</w:t>
      </w:r>
      <w:r>
        <w:rPr>
          <w:rFonts w:ascii="Times New Roman" w:hAnsi="Times New Roman" w:cs="Times New Roman" w:eastAsia="Times New Roman"/>
          <w:i/>
          <w:color w:val="0000CC"/>
          <w:spacing w:val="0"/>
          <w:position w:val="0"/>
          <w:sz w:val="24"/>
          <w:shd w:fill="auto" w:val="clear"/>
        </w:rPr>
        <w:t xml:space="preserve">ân hàng Th</w:t>
      </w:r>
      <w:r>
        <w:rPr>
          <w:rFonts w:ascii="Times New Roman" w:hAnsi="Times New Roman" w:cs="Times New Roman" w:eastAsia="Times New Roman"/>
          <w:i/>
          <w:color w:val="0000CC"/>
          <w:spacing w:val="0"/>
          <w:position w:val="0"/>
          <w:sz w:val="24"/>
          <w:shd w:fill="auto" w:val="clear"/>
        </w:rPr>
        <w:t xml:space="preserve">ương m</w:t>
      </w:r>
      <w:r>
        <w:rPr>
          <w:rFonts w:ascii="Times New Roman" w:hAnsi="Times New Roman" w:cs="Times New Roman" w:eastAsia="Times New Roman"/>
          <w:i/>
          <w:color w:val="0000CC"/>
          <w:spacing w:val="0"/>
          <w:position w:val="0"/>
          <w:sz w:val="24"/>
          <w:shd w:fill="auto" w:val="clear"/>
        </w:rPr>
        <w:t xml:space="preserve">ại cổ phần Kỹ Th</w:t>
      </w:r>
      <w:r>
        <w:rPr>
          <w:rFonts w:ascii="Times New Roman" w:hAnsi="Times New Roman" w:cs="Times New Roman" w:eastAsia="Times New Roman"/>
          <w:i/>
          <w:color w:val="0000CC"/>
          <w:spacing w:val="0"/>
          <w:position w:val="0"/>
          <w:sz w:val="24"/>
          <w:shd w:fill="auto" w:val="clear"/>
        </w:rPr>
        <w:t xml:space="preserve">ương Vi</w:t>
      </w:r>
      <w:r>
        <w:rPr>
          <w:rFonts w:ascii="Times New Roman" w:hAnsi="Times New Roman" w:cs="Times New Roman" w:eastAsia="Times New Roman"/>
          <w:i/>
          <w:color w:val="0000CC"/>
          <w:spacing w:val="0"/>
          <w:position w:val="0"/>
          <w:sz w:val="24"/>
          <w:shd w:fill="auto" w:val="clear"/>
        </w:rPr>
        <w:t xml:space="preserve">ệt Nam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- Chi nh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ánh 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ải Ph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òng</w:t>
      </w:r>
      <w:r>
        <w:rPr>
          <w:rFonts w:ascii="Times New Roman" w:hAnsi="Times New Roman" w:cs="Times New Roman" w:eastAsia="Times New Roman"/>
          <w:i/>
          <w:color w:val="0000CC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và </w:t>
      </w:r>
      <w:r>
        <w:rPr>
          <w:rFonts w:ascii="Times New Roman" w:hAnsi="Times New Roman" w:cs="Times New Roman" w:eastAsia="Times New Roman"/>
          <w:i/>
          <w:color w:val="0000CC"/>
          <w:spacing w:val="0"/>
          <w:position w:val="0"/>
          <w:sz w:val="24"/>
          <w:shd w:fill="auto" w:val="clear"/>
        </w:rPr>
        <w:t xml:space="preserve">Công ty C</w:t>
      </w:r>
      <w:r>
        <w:rPr>
          <w:rFonts w:ascii="Times New Roman" w:hAnsi="Times New Roman" w:cs="Times New Roman" w:eastAsia="Times New Roman"/>
          <w:i/>
          <w:color w:val="0000CC"/>
          <w:spacing w:val="0"/>
          <w:position w:val="0"/>
          <w:sz w:val="24"/>
          <w:shd w:fill="auto" w:val="clear"/>
        </w:rPr>
        <w:t xml:space="preserve">ổ phần Th</w:t>
      </w:r>
      <w:r>
        <w:rPr>
          <w:rFonts w:ascii="Times New Roman" w:hAnsi="Times New Roman" w:cs="Times New Roman" w:eastAsia="Times New Roman"/>
          <w:i/>
          <w:color w:val="0000CC"/>
          <w:spacing w:val="0"/>
          <w:position w:val="0"/>
          <w:sz w:val="24"/>
          <w:shd w:fill="auto" w:val="clear"/>
        </w:rPr>
        <w:t xml:space="preserve">ép Trang Khanh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(D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ới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ây g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ọi chung l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ồng Cấp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ín D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ụng) 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à các 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ăn 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ản/phụ lục sửa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ổi, bổ sung (nếu c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ó);</w:t>
      </w:r>
    </w:p>
    <w:p>
      <w:pPr>
        <w:tabs>
          <w:tab w:val="left" w:pos="360" w:leader="none"/>
          <w:tab w:val="left" w:pos="72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760" w:leader="dot"/>
          <w:tab w:val="left" w:pos="7560" w:leader="dot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Tôi/Chúng tôi là </w:t>
      </w:r>
      <w:r>
        <w:rPr>
          <w:rFonts w:ascii="Times New Roman" w:hAnsi="Times New Roman" w:cs="Times New Roman" w:eastAsia="Times New Roman"/>
          <w:b/>
          <w:color w:val="0000CC"/>
          <w:spacing w:val="0"/>
          <w:position w:val="0"/>
          <w:sz w:val="24"/>
          <w:shd w:fill="auto" w:val="clear"/>
        </w:rPr>
        <w:t xml:space="preserve">Công ty C</w:t>
      </w:r>
      <w:r>
        <w:rPr>
          <w:rFonts w:ascii="Times New Roman" w:hAnsi="Times New Roman" w:cs="Times New Roman" w:eastAsia="Times New Roman"/>
          <w:b/>
          <w:color w:val="0000CC"/>
          <w:spacing w:val="0"/>
          <w:position w:val="0"/>
          <w:sz w:val="24"/>
          <w:shd w:fill="auto" w:val="clear"/>
        </w:rPr>
        <w:t xml:space="preserve">ổ phần Th</w:t>
      </w:r>
      <w:r>
        <w:rPr>
          <w:rFonts w:ascii="Times New Roman" w:hAnsi="Times New Roman" w:cs="Times New Roman" w:eastAsia="Times New Roman"/>
          <w:b/>
          <w:color w:val="0000CC"/>
          <w:spacing w:val="0"/>
          <w:position w:val="0"/>
          <w:sz w:val="24"/>
          <w:shd w:fill="auto" w:val="clear"/>
        </w:rPr>
        <w:t xml:space="preserve">ép Trang Khanh 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 sở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ại 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Số 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197 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ô 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ờng L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ê H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ồng Phong, ph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ờng 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ông Khê, qu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ận Ng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ô Quy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ền, th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ố Hải Ph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òng, Vi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ệt Nam;</w:t>
      </w:r>
      <w:r>
        <w:rPr>
          <w:rFonts w:ascii="Times New Roman" w:hAnsi="Times New Roman" w:cs="Times New Roman" w:eastAsia="Times New Roman"/>
          <w:b/>
          <w:color w:val="0000CC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ã s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ố doanh nghiệp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số 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0201725327 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do Ph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ý kinh doanh - S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ở Kế hoạch v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ầu t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ư th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ố Hải Ph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òng c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ấp, 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ý l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ần 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ầu ng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05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2016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ý thay 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ổi lần thứ 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18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06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2019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ý thay 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ổi lần thứ 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16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09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CC"/>
          <w:spacing w:val="0"/>
          <w:position w:val="0"/>
          <w:sz w:val="24"/>
          <w:shd w:fill="auto" w:val="clear"/>
        </w:rPr>
        <w:t xml:space="preserve">2020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ổi lần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 ông/bà: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ễn Mạnh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CMND/CCCD/Hộ chiếu: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031896282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ại diện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 nghị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Techcombank giải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và Tôi/Chúng tôi xác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ận về việc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ận nợ một khoản tiền giải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hàng TMCP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ỹ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ệt Nam (sau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ây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ọi tắt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Techcombank) theo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ội dung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ây:</w:t>
      </w:r>
    </w:p>
    <w:p>
      <w:pPr>
        <w:tabs>
          <w:tab w:val="left" w:pos="5760" w:leader="dot"/>
          <w:tab w:val="left" w:pos="7560" w:leader="dot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tabs>
          <w:tab w:val="left" w:pos="9360" w:leader="dot"/>
        </w:tabs>
        <w:spacing w:before="0" w:after="0" w:line="276"/>
        <w:ind w:right="0" w:left="426" w:hanging="36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ố tiền nhận nợ (Khoản vay)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$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{money_format}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ồng</w:t>
      </w:r>
    </w:p>
    <w:p>
      <w:pPr>
        <w:tabs>
          <w:tab w:val="left" w:pos="360" w:leader="none"/>
          <w:tab w:val="left" w:pos="9360" w:leader="dot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(B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ằng chữ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{money_text}./)</w:t>
      </w:r>
    </w:p>
    <w:p>
      <w:pPr>
        <w:numPr>
          <w:ilvl w:val="0"/>
          <w:numId w:val="11"/>
        </w:numPr>
        <w:tabs>
          <w:tab w:val="left" w:pos="360" w:leader="none"/>
          <w:tab w:val="left" w:pos="9360" w:leader="dot"/>
        </w:tabs>
        <w:spacing w:before="0" w:after="0" w:line="276"/>
        <w:ind w:right="0" w:left="426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ích vay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ốn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tabs>
          <w:tab w:val="left" w:pos="9360" w:leader="dot"/>
        </w:tabs>
        <w:spacing w:before="0" w:after="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Thanh toán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</w:t>
      </w:r>
    </w:p>
    <w:p>
      <w:pPr>
        <w:numPr>
          <w:ilvl w:val="0"/>
          <w:numId w:val="13"/>
        </w:numPr>
        <w:tabs>
          <w:tab w:val="left" w:pos="9360" w:leader="dot"/>
        </w:tabs>
        <w:spacing w:before="0" w:after="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án vay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ốn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theo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vay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cung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ấp cho Techcombank.</w:t>
      </w:r>
    </w:p>
    <w:p>
      <w:pPr>
        <w:numPr>
          <w:ilvl w:val="0"/>
          <w:numId w:val="13"/>
        </w:numPr>
        <w:tabs>
          <w:tab w:val="left" w:pos="9360" w:leader="dot"/>
        </w:tabs>
        <w:spacing w:before="0" w:after="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ời hạn vay: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áng.</w:t>
      </w:r>
    </w:p>
    <w:p>
      <w:pPr>
        <w:numPr>
          <w:ilvl w:val="0"/>
          <w:numId w:val="13"/>
        </w:numPr>
        <w:tabs>
          <w:tab w:val="left" w:pos="9360" w:leader="dot"/>
        </w:tabs>
        <w:spacing w:before="0" w:after="0" w:line="276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Ngày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ề nghị giải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ân (ngày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ận nợ)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………………………………………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Trong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ờng hợp Techcombank giải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vào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khác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 nghị giải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này, thì ngày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ận nợ của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ôi/Chúng tôi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với Techcombank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ngày Techcombank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ền vay thực tế theo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ứng từ giải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Techcombank.</w:t>
      </w:r>
    </w:p>
    <w:p>
      <w:pPr>
        <w:numPr>
          <w:ilvl w:val="0"/>
          <w:numId w:val="13"/>
        </w:numPr>
        <w:tabs>
          <w:tab w:val="left" w:pos="9360" w:leader="dot"/>
        </w:tabs>
        <w:spacing w:before="0" w:after="0" w:line="276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ức giải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ân:</w:t>
      </w:r>
    </w:p>
    <w:tbl>
      <w:tblPr/>
      <w:tblGrid>
        <w:gridCol w:w="11096"/>
        <w:gridCol w:w="3746"/>
      </w:tblGrid>
      <w:tr>
        <w:trPr>
          <w:trHeight w:val="1" w:hRule="atLeast"/>
          <w:jc w:val="left"/>
        </w:trPr>
        <w:tc>
          <w:tcPr>
            <w:tcW w:w="1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360" w:leader="dot"/>
              </w:tabs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ền mặt, do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………………………………………</w:t>
            </w:r>
          </w:p>
        </w:tc>
      </w:tr>
      <w:tr>
        <w:trPr>
          <w:trHeight w:val="1" w:hRule="atLeast"/>
          <w:jc w:val="left"/>
        </w:trPr>
        <w:tc>
          <w:tcPr>
            <w:tcW w:w="1484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360" w:leader="dot"/>
              </w:tabs>
              <w:spacing w:before="0" w:after="0" w:line="276"/>
              <w:ind w:right="0" w:left="360" w:hanging="378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khoản từ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giải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 cho các bên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ởng theo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chi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sau:</w:t>
            </w:r>
          </w:p>
          <w:tbl>
            <w:tblPr/>
            <w:tblGrid>
              <w:gridCol w:w="807"/>
              <w:gridCol w:w="1283"/>
              <w:gridCol w:w="1900"/>
              <w:gridCol w:w="1097"/>
              <w:gridCol w:w="957"/>
              <w:gridCol w:w="794"/>
              <w:gridCol w:w="2992"/>
              <w:gridCol w:w="1184"/>
            </w:tblGrid>
            <w:tr>
              <w:trPr>
                <w:trHeight w:val="296" w:hRule="auto"/>
                <w:jc w:val="left"/>
              </w:trPr>
              <w:tc>
                <w:tcPr>
                  <w:tcW w:w="8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TT</w:t>
                  </w:r>
                </w:p>
              </w:tc>
              <w:tc>
                <w:tcPr>
                  <w:tcW w:w="128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Tên tài kho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ản ng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ời nhận</w:t>
                  </w:r>
                </w:p>
              </w:tc>
              <w:tc>
                <w:tcPr>
                  <w:tcW w:w="190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 t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ài kho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ản ng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ư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ời nhận</w:t>
                  </w:r>
                </w:p>
              </w:tc>
              <w:tc>
                <w:tcPr>
                  <w:tcW w:w="109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Ngân hàng</w:t>
                  </w:r>
                </w:p>
              </w:tc>
              <w:tc>
                <w:tcPr>
                  <w:tcW w:w="95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Chi 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nhá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nh</w:t>
                  </w: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T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ỉnh TP</w:t>
                  </w:r>
                </w:p>
              </w:tc>
              <w:tc>
                <w:tcPr>
                  <w:tcW w:w="299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S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ố tiền (VND) </w:t>
                  </w:r>
                </w:p>
              </w:tc>
              <w:tc>
                <w:tcPr>
                  <w:tcW w:w="118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ội dung chuyển tiền</w:t>
                  </w:r>
                </w:p>
              </w:tc>
            </w:tr>
            <w:tr>
              <w:trPr>
                <w:trHeight w:val="174" w:hRule="auto"/>
                <w:jc w:val="left"/>
              </w:trPr>
              <w:tc>
                <w:tcPr>
                  <w:tcW w:w="80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76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${no}</w:t>
                  </w:r>
                </w:p>
              </w:tc>
              <w:tc>
                <w:tcPr>
                  <w:tcW w:w="128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360" w:hanging="360"/>
                    <w:jc w:val="center"/>
                    <w:rPr>
                      <w:rFonts w:ascii="Times New Roman" w:hAnsi="Times New Roman" w:cs="Times New Roman" w:eastAsia="Times New Roman"/>
                      <w:color w:val="FF0000"/>
                      <w:spacing w:val="0"/>
                      <w:position w:val="0"/>
                      <w:sz w:val="20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Times New Roman" w:hAnsi="Times New Roman" w:cs="Times New Roman" w:eastAsia="Times New Roman"/>
                      <w:color w:val="FF0000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FF0000"/>
                      <w:spacing w:val="0"/>
                      <w:position w:val="0"/>
                      <w:sz w:val="20"/>
                      <w:shd w:fill="auto" w:val="clear"/>
                    </w:rPr>
                    <w:t xml:space="preserve">${supplier}</w:t>
                  </w:r>
                </w:p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spacing w:val="0"/>
                      <w:position w:val="0"/>
                    </w:rPr>
                  </w:pPr>
                </w:p>
              </w:tc>
              <w:tc>
                <w:tcPr>
                  <w:tcW w:w="190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76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${bank_account}</w:t>
                  </w:r>
                </w:p>
              </w:tc>
              <w:tc>
                <w:tcPr>
                  <w:tcW w:w="109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76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FF0000"/>
                      <w:spacing w:val="0"/>
                      <w:position w:val="0"/>
                      <w:sz w:val="20"/>
                      <w:shd w:fill="auto" w:val="clear"/>
                    </w:rPr>
                    <w:t xml:space="preserve">${bank}</w:t>
                  </w:r>
                </w:p>
              </w:tc>
              <w:tc>
                <w:tcPr>
                  <w:tcW w:w="95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79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99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76"/>
                    <w:ind w:right="0" w:left="0" w:firstLine="0"/>
                    <w:jc w:val="center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FF0000"/>
                      <w:spacing w:val="0"/>
                      <w:position w:val="0"/>
                      <w:sz w:val="24"/>
                      <w:shd w:fill="auto" w:val="clear"/>
                    </w:rPr>
                    <w:t xml:space="preserve">${supplier_money_format}</w:t>
                  </w:r>
                </w:p>
              </w:tc>
              <w:tc>
                <w:tcPr>
                  <w:tcW w:w="118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center"/>
                    <w:rPr>
                      <w:spacing w:val="0"/>
                      <w:position w:val="0"/>
                    </w:rPr>
                  </w:pPr>
                  <w:r>
                    <w:rPr>
                      <w:rFonts w:ascii="Arial" w:hAnsi="Arial" w:cs="Arial" w:eastAsia="Arial"/>
                      <w:color w:val="FF0000"/>
                      <w:spacing w:val="0"/>
                      <w:position w:val="0"/>
                      <w:sz w:val="20"/>
                      <w:shd w:fill="auto" w:val="clear"/>
                    </w:rPr>
                    <w:t xml:space="preserve">${purpose}</w:t>
                  </w:r>
                </w:p>
              </w:tc>
            </w:tr>
            <w:tr>
              <w:trPr>
                <w:trHeight w:val="201" w:hRule="auto"/>
                <w:jc w:val="left"/>
              </w:trPr>
              <w:tc>
                <w:tcPr>
                  <w:tcW w:w="6838" w:type="dxa"/>
                  <w:gridSpan w:val="6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76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T</w:t>
                  </w: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ỔNG CỘNG</w:t>
                  </w:r>
                </w:p>
              </w:tc>
              <w:tc>
                <w:tcPr>
                  <w:tcW w:w="299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76"/>
                    <w:ind w:right="0" w:left="0" w:firstLine="0"/>
                    <w:jc w:val="center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FF0000"/>
                      <w:spacing w:val="0"/>
                      <w:position w:val="0"/>
                      <w:sz w:val="24"/>
                      <w:shd w:fill="auto" w:val="clear"/>
                    </w:rPr>
                    <w:t xml:space="preserve">${money_format}</w:t>
                  </w:r>
                </w:p>
              </w:tc>
              <w:tc>
                <w:tcPr>
                  <w:tcW w:w="118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tabs>
                <w:tab w:val="left" w:pos="9360" w:leader="dot"/>
              </w:tabs>
              <w:spacing w:before="0" w:after="0" w:line="276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………………………………………………………………………</w:t>
            </w:r>
          </w:p>
        </w:tc>
      </w:tr>
    </w:tbl>
    <w:p>
      <w:pPr>
        <w:numPr>
          <w:ilvl w:val="0"/>
          <w:numId w:val="35"/>
        </w:numPr>
        <w:tabs>
          <w:tab w:val="left" w:pos="9360" w:leader="dot"/>
        </w:tabs>
        <w:spacing w:before="0" w:after="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ịch trả nợ:</w:t>
      </w:r>
    </w:p>
    <w:p>
      <w:pPr>
        <w:tabs>
          <w:tab w:val="left" w:pos="360" w:leader="none"/>
          <w:tab w:val="left" w:pos="6311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Ngày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hạn trả nợ cuối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./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./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……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450" w:leader="none"/>
          <w:tab w:val="left" w:pos="9360" w:leader="dot"/>
          <w:tab w:val="left" w:pos="10260" w:leader="none"/>
        </w:tabs>
        <w:spacing w:before="0" w:after="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̀ hạ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trả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̣ lã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i: theo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ỳ trả nợ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ãi .................  tháng/l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vào ngày ................. .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ỳ trả nợ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là vào ngày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./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./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……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360" w:leader="none"/>
          <w:tab w:val="left" w:pos="661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ỳ hạn trả nợ gốc: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360" w:leader="none"/>
          <w:tab w:val="left" w:pos="9360" w:leader="dot"/>
          <w:tab w:val="left" w:pos="10260" w:leader="none"/>
        </w:tabs>
        <w:spacing w:before="0" w:after="0" w:line="240"/>
        <w:ind w:right="0" w:left="4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 nợ một lần: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ngày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hạn trả nợ cuối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ùng,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Trả nợ nhiều lần: theo lịch trả nợ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sau:</w:t>
      </w:r>
    </w:p>
    <w:tbl>
      <w:tblPr>
        <w:tblInd w:w="440" w:type="dxa"/>
      </w:tblPr>
      <w:tblGrid>
        <w:gridCol w:w="1156"/>
        <w:gridCol w:w="4415"/>
        <w:gridCol w:w="4419"/>
      </w:tblGrid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STT</w:t>
            </w:r>
          </w:p>
        </w:tc>
        <w:tc>
          <w:tcPr>
            <w:tcW w:w="441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ỳ trả nợ</w:t>
            </w:r>
          </w:p>
        </w:tc>
        <w:tc>
          <w:tcPr>
            <w:tcW w:w="4419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Giá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……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.)</w:t>
            </w: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7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……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40"/>
              <w:ind w:right="0" w:left="720" w:hanging="37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……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"/>
              </w:numPr>
              <w:spacing w:before="0" w:after="0" w:line="240"/>
              <w:ind w:right="0" w:left="720" w:hanging="37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ày.......)</w:t>
            </w:r>
          </w:p>
        </w:tc>
        <w:tc>
          <w:tcPr>
            <w:tcW w:w="441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53"/>
        </w:numPr>
        <w:tabs>
          <w:tab w:val="left" w:pos="9360" w:leader="dot"/>
        </w:tabs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Lãi su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ất vay</w:t>
      </w:r>
    </w:p>
    <w:p>
      <w:p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Lãi su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cố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ịnh:.............  %/n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ụng cho suốt thời hạn vay; hoặc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Lãi su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thả nổi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sau:</w:t>
      </w:r>
    </w:p>
    <w:p>
      <w:pPr>
        <w:numPr>
          <w:ilvl w:val="0"/>
          <w:numId w:val="5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Lãi su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kỳ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ên: Lãi su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vay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ụng kể từ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....../......./.......... là: ..........%/n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ăm.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Lãi su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kỳ tiếp theo: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ãi su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với khoản vay cho thời gian tiếp theo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chỉnh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ịnh kỳ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………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..tháng/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ột lần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các ngày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………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 và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ãi Su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………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................................../LIBOR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………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..................................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ộng (+)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………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%/n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nhưng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ấp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ơn ...........%/năm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ại mọi thời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ểm.</w:t>
      </w:r>
    </w:p>
    <w:p>
      <w:pPr>
        <w:numPr>
          <w:ilvl w:val="0"/>
          <w:numId w:val="58"/>
        </w:numPr>
        <w:tabs>
          <w:tab w:val="left" w:pos="9360" w:leader="dot"/>
        </w:tabs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Phí, chi phí: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………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.................................. và theo quy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ịnh trong từng thời kỳ của Techcombank.</w:t>
      </w:r>
    </w:p>
    <w:p>
      <w:pPr>
        <w:numPr>
          <w:ilvl w:val="0"/>
          <w:numId w:val="58"/>
        </w:numPr>
        <w:tabs>
          <w:tab w:val="left" w:pos="9360" w:leader="dot"/>
        </w:tabs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ều kiện giải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ân (n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ếu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ó):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………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..................................</w:t>
      </w:r>
    </w:p>
    <w:p>
      <w:pPr>
        <w:tabs>
          <w:tab w:val="left" w:pos="360" w:leader="none"/>
          <w:tab w:val="left" w:pos="3240" w:leader="dot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 nghị giải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kiêm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Nhận nợ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là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ứng minh cho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ĩa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 nợ của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ôi/Chúng tôi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với Techcombank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 hết hiệu lực khi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ôi/Chúng tôi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hoàn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 số tiền nhận nợ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ãi, phí, chi phí,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ạt,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phải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án, hoàn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 phát sinh.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 nghị giải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kiêm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nhận nợ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ột bộ phận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tách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của Hợp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ồng Cấp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lập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ành hai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ản, Techcombank giữ một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bản,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ôi/Chúng tôi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một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bản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thực hiện.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tbl>
      <w:tblPr/>
      <w:tblGrid>
        <w:gridCol w:w="5218"/>
        <w:gridCol w:w="5222"/>
      </w:tblGrid>
      <w:tr>
        <w:trPr>
          <w:trHeight w:val="256" w:hRule="auto"/>
          <w:jc w:val="left"/>
        </w:trPr>
        <w:tc>
          <w:tcPr>
            <w:tcW w:w="52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  <w:tab w:val="left" w:pos="830" w:leader="none"/>
                <w:tab w:val="center" w:pos="2524" w:leader="none"/>
                <w:tab w:val="left" w:pos="3240" w:leader="dot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</w:r>
          </w:p>
          <w:p>
            <w:pPr>
              <w:tabs>
                <w:tab w:val="left" w:pos="360" w:leader="none"/>
                <w:tab w:val="left" w:pos="830" w:leader="none"/>
                <w:tab w:val="center" w:pos="2524" w:leader="none"/>
                <w:tab w:val="left" w:pos="3240" w:leader="dot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5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  <w:tab w:val="left" w:pos="3240" w:leader="dot"/>
              </w:tabs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ẠI DIỆN KH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ÁCH HÀNG</w:t>
            </w:r>
          </w:p>
          <w:p>
            <w:pPr>
              <w:tabs>
                <w:tab w:val="left" w:pos="360" w:leader="none"/>
                <w:tab w:val="left" w:pos="3240" w:leader="dot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(ký, ghi rõ h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ọ t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ên và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óng d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ấu)</w:t>
            </w:r>
          </w:p>
        </w:tc>
      </w:tr>
    </w:tbl>
    <w:p>
      <w:pPr>
        <w:tabs>
          <w:tab w:val="left" w:pos="9360" w:leader="dot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6">
    <w:abstractNumId w:val="60"/>
  </w:num>
  <w:num w:numId="9">
    <w:abstractNumId w:val="54"/>
  </w:num>
  <w:num w:numId="11">
    <w:abstractNumId w:val="48"/>
  </w:num>
  <w:num w:numId="13">
    <w:abstractNumId w:val="42"/>
  </w:num>
  <w:num w:numId="35">
    <w:abstractNumId w:val="36"/>
  </w:num>
  <w:num w:numId="44">
    <w:abstractNumId w:val="30"/>
  </w:num>
  <w:num w:numId="47">
    <w:abstractNumId w:val="24"/>
  </w:num>
  <w:num w:numId="50">
    <w:abstractNumId w:val="18"/>
  </w:num>
  <w:num w:numId="53">
    <w:abstractNumId w:val="12"/>
  </w:num>
  <w:num w:numId="56">
    <w:abstractNumId w:val="6"/>
  </w:num>
  <w:num w:numId="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