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A4AD" w14:textId="179CCB3C" w:rsidR="0069378D" w:rsidRPr="0069378D" w:rsidRDefault="0069378D" w:rsidP="0069378D">
      <w:pPr>
        <w:pStyle w:val="ListParagraph"/>
        <w:numPr>
          <w:ilvl w:val="0"/>
          <w:numId w:val="1"/>
        </w:numPr>
        <w:spacing w:line="360" w:lineRule="auto"/>
        <w:rPr>
          <w:rFonts w:ascii="Arial" w:hAnsi="Arial" w:cs="Arial"/>
          <w:sz w:val="24"/>
          <w:szCs w:val="24"/>
        </w:rPr>
      </w:pPr>
      <w:r w:rsidRPr="0069378D">
        <w:rPr>
          <w:rFonts w:ascii="Arial" w:hAnsi="Arial" w:cs="Arial"/>
          <w:sz w:val="24"/>
          <w:szCs w:val="24"/>
        </w:rPr>
        <w:t>DMI measurement attributes:</w:t>
      </w:r>
    </w:p>
    <w:p w14:paraId="2893FDCB" w14:textId="2C09DE94" w:rsidR="00264D2D" w:rsidRDefault="00F76641" w:rsidP="00E5359D">
      <w:pPr>
        <w:spacing w:line="360" w:lineRule="auto"/>
        <w:rPr>
          <w:rFonts w:ascii="Arial" w:hAnsi="Arial" w:cs="Arial"/>
          <w:sz w:val="24"/>
          <w:szCs w:val="24"/>
        </w:rPr>
      </w:pPr>
      <w:r>
        <w:rPr>
          <w:rFonts w:ascii="Arial" w:hAnsi="Arial" w:cs="Arial"/>
          <w:sz w:val="24"/>
          <w:szCs w:val="24"/>
        </w:rPr>
        <w:t xml:space="preserve">“Distress manifestations are visible signs of pavement structural condition. These distresses are indicators of problems due to material deficiencies, construction deficiencies, environmental and climatic conditions, traffic loading, or other causes, The degree of severity (How bad?) and density or extent of occurrence (How big?) of these distresses are good indicators of the problem. </w:t>
      </w:r>
      <w:sdt>
        <w:sdtPr>
          <w:rPr>
            <w:rFonts w:ascii="Arial" w:hAnsi="Arial" w:cs="Arial"/>
            <w:sz w:val="24"/>
            <w:szCs w:val="24"/>
          </w:rPr>
          <w:id w:val="-1885854040"/>
          <w:citation/>
        </w:sdtPr>
        <w:sdtEndPr/>
        <w:sdtContent>
          <w:r w:rsidR="00E5359D">
            <w:rPr>
              <w:rFonts w:ascii="Arial" w:hAnsi="Arial" w:cs="Arial"/>
              <w:sz w:val="24"/>
              <w:szCs w:val="24"/>
            </w:rPr>
            <w:fldChar w:fldCharType="begin"/>
          </w:r>
          <w:r w:rsidR="00E5359D">
            <w:rPr>
              <w:rFonts w:ascii="Arial" w:hAnsi="Arial" w:cs="Arial"/>
              <w:sz w:val="24"/>
              <w:szCs w:val="24"/>
            </w:rPr>
            <w:instrText xml:space="preserve"> CITATION GJC89 \l 1033 </w:instrText>
          </w:r>
          <w:r w:rsidR="00E5359D">
            <w:rPr>
              <w:rFonts w:ascii="Arial" w:hAnsi="Arial" w:cs="Arial"/>
              <w:sz w:val="24"/>
              <w:szCs w:val="24"/>
            </w:rPr>
            <w:fldChar w:fldCharType="separate"/>
          </w:r>
          <w:r w:rsidR="0069378D" w:rsidRPr="0069378D">
            <w:rPr>
              <w:rFonts w:ascii="Arial" w:hAnsi="Arial" w:cs="Arial"/>
              <w:noProof/>
              <w:sz w:val="24"/>
              <w:szCs w:val="24"/>
            </w:rPr>
            <w:t>(G.J. Chong, 1989)</w:t>
          </w:r>
          <w:r w:rsidR="00E5359D">
            <w:rPr>
              <w:rFonts w:ascii="Arial" w:hAnsi="Arial" w:cs="Arial"/>
              <w:sz w:val="24"/>
              <w:szCs w:val="24"/>
            </w:rPr>
            <w:fldChar w:fldCharType="end"/>
          </w:r>
        </w:sdtContent>
      </w:sdt>
    </w:p>
    <w:p w14:paraId="11ACA1FE" w14:textId="39FFAC48" w:rsidR="0069378D" w:rsidRPr="0069378D" w:rsidRDefault="0069378D" w:rsidP="0069378D">
      <w:pPr>
        <w:pStyle w:val="ListParagraph"/>
        <w:numPr>
          <w:ilvl w:val="0"/>
          <w:numId w:val="1"/>
        </w:numPr>
        <w:spacing w:line="360" w:lineRule="auto"/>
        <w:rPr>
          <w:rFonts w:ascii="Arial" w:hAnsi="Arial" w:cs="Arial"/>
          <w:sz w:val="24"/>
          <w:szCs w:val="24"/>
        </w:rPr>
      </w:pPr>
      <w:r>
        <w:rPr>
          <w:rFonts w:ascii="Arial" w:hAnsi="Arial" w:cs="Arial"/>
          <w:sz w:val="24"/>
          <w:szCs w:val="24"/>
        </w:rPr>
        <w:t>IRI is not subjective:</w:t>
      </w:r>
    </w:p>
    <w:p w14:paraId="7D952543" w14:textId="2081088C" w:rsidR="00A52A9D" w:rsidRDefault="00330384" w:rsidP="005A7DAC">
      <w:pPr>
        <w:spacing w:line="360" w:lineRule="auto"/>
        <w:rPr>
          <w:rFonts w:ascii="Arial" w:hAnsi="Arial" w:cs="Arial"/>
          <w:sz w:val="24"/>
          <w:szCs w:val="24"/>
        </w:rPr>
      </w:pPr>
      <w:r>
        <w:rPr>
          <w:rFonts w:ascii="Arial" w:hAnsi="Arial" w:cs="Arial"/>
          <w:sz w:val="24"/>
          <w:szCs w:val="24"/>
        </w:rPr>
        <w:t>“</w:t>
      </w:r>
      <w:r w:rsidR="00A52A9D" w:rsidRPr="00A52A9D">
        <w:rPr>
          <w:rFonts w:ascii="Arial" w:hAnsi="Arial" w:cs="Arial"/>
          <w:sz w:val="24"/>
          <w:szCs w:val="24"/>
        </w:rPr>
        <w:t>The IRI is typically obtained</w:t>
      </w:r>
      <w:r w:rsidR="00A52A9D">
        <w:rPr>
          <w:rFonts w:ascii="Arial" w:hAnsi="Arial" w:cs="Arial"/>
          <w:sz w:val="24"/>
          <w:szCs w:val="24"/>
        </w:rPr>
        <w:t xml:space="preserve"> </w:t>
      </w:r>
      <w:r w:rsidR="00A52A9D" w:rsidRPr="00A52A9D">
        <w:rPr>
          <w:rFonts w:ascii="Arial" w:hAnsi="Arial" w:cs="Arial"/>
          <w:sz w:val="24"/>
          <w:szCs w:val="24"/>
        </w:rPr>
        <w:t>using specialized equipment which indicates the smoothness of the roadway segment based on established computer</w:t>
      </w:r>
      <w:r w:rsidR="00A52A9D">
        <w:rPr>
          <w:rFonts w:ascii="Arial" w:hAnsi="Arial" w:cs="Arial"/>
          <w:sz w:val="24"/>
          <w:szCs w:val="24"/>
        </w:rPr>
        <w:t xml:space="preserve"> </w:t>
      </w:r>
      <w:r w:rsidR="00A52A9D" w:rsidRPr="00A52A9D">
        <w:rPr>
          <w:rFonts w:ascii="Arial" w:hAnsi="Arial" w:cs="Arial"/>
          <w:sz w:val="24"/>
          <w:szCs w:val="24"/>
        </w:rPr>
        <w:t>algorithms,</w:t>
      </w:r>
      <w:r w:rsidR="005A7DAC">
        <w:rPr>
          <w:rFonts w:ascii="Arial" w:hAnsi="Arial" w:cs="Arial"/>
          <w:sz w:val="24"/>
          <w:szCs w:val="24"/>
        </w:rPr>
        <w:t xml:space="preserve"> </w:t>
      </w:r>
      <w:r w:rsidR="00A52A9D">
        <w:rPr>
          <w:rFonts w:ascii="Arial" w:hAnsi="Arial" w:cs="Arial"/>
          <w:sz w:val="24"/>
          <w:szCs w:val="24"/>
        </w:rPr>
        <w:t>…</w:t>
      </w:r>
      <w:r>
        <w:rPr>
          <w:rFonts w:ascii="Arial" w:hAnsi="Arial" w:cs="Arial"/>
          <w:sz w:val="24"/>
          <w:szCs w:val="24"/>
        </w:rPr>
        <w:t>”</w:t>
      </w:r>
      <w:r w:rsidR="005A7DAC">
        <w:rPr>
          <w:rFonts w:ascii="Arial" w:hAnsi="Arial" w:cs="Arial"/>
          <w:sz w:val="24"/>
          <w:szCs w:val="24"/>
        </w:rPr>
        <w:t xml:space="preserve"> “</w:t>
      </w:r>
      <w:r w:rsidR="005A7DAC" w:rsidRPr="005A7DAC">
        <w:rPr>
          <w:rFonts w:ascii="Arial" w:hAnsi="Arial" w:cs="Arial"/>
          <w:sz w:val="24"/>
          <w:szCs w:val="24"/>
        </w:rPr>
        <w:t>More</w:t>
      </w:r>
      <w:r w:rsidR="005A7DAC">
        <w:rPr>
          <w:rFonts w:ascii="Arial" w:hAnsi="Arial" w:cs="Arial"/>
          <w:sz w:val="24"/>
          <w:szCs w:val="24"/>
        </w:rPr>
        <w:t xml:space="preserve"> </w:t>
      </w:r>
      <w:r w:rsidR="005A7DAC" w:rsidRPr="005A7DAC">
        <w:rPr>
          <w:rFonts w:ascii="Arial" w:hAnsi="Arial" w:cs="Arial"/>
          <w:sz w:val="24"/>
          <w:szCs w:val="24"/>
        </w:rPr>
        <w:t>importantly, IRI is not a subjective measure, compared to</w:t>
      </w:r>
      <w:r w:rsidR="005A7DAC">
        <w:rPr>
          <w:rFonts w:ascii="Arial" w:hAnsi="Arial" w:cs="Arial"/>
          <w:sz w:val="24"/>
          <w:szCs w:val="24"/>
        </w:rPr>
        <w:t xml:space="preserve"> </w:t>
      </w:r>
      <w:r w:rsidR="005A7DAC" w:rsidRPr="005A7DAC">
        <w:rPr>
          <w:rFonts w:ascii="Arial" w:hAnsi="Arial" w:cs="Arial"/>
          <w:sz w:val="24"/>
          <w:szCs w:val="24"/>
        </w:rPr>
        <w:t>PCI. The statistical significance of some of these</w:t>
      </w:r>
      <w:r w:rsidR="005A7DAC">
        <w:rPr>
          <w:rFonts w:ascii="Arial" w:hAnsi="Arial" w:cs="Arial"/>
          <w:sz w:val="24"/>
          <w:szCs w:val="24"/>
        </w:rPr>
        <w:t xml:space="preserve"> </w:t>
      </w:r>
      <w:r w:rsidR="005A7DAC" w:rsidRPr="005A7DAC">
        <w:rPr>
          <w:rFonts w:ascii="Arial" w:hAnsi="Arial" w:cs="Arial"/>
          <w:sz w:val="24"/>
          <w:szCs w:val="24"/>
        </w:rPr>
        <w:t>relationships or models developed also suggest that one</w:t>
      </w:r>
      <w:r w:rsidR="005A7DAC">
        <w:rPr>
          <w:rFonts w:ascii="Arial" w:hAnsi="Arial" w:cs="Arial"/>
          <w:sz w:val="24"/>
          <w:szCs w:val="24"/>
        </w:rPr>
        <w:t xml:space="preserve"> </w:t>
      </w:r>
      <w:r w:rsidR="005A7DAC" w:rsidRPr="005A7DAC">
        <w:rPr>
          <w:rFonts w:ascii="Arial" w:hAnsi="Arial" w:cs="Arial"/>
          <w:sz w:val="24"/>
          <w:szCs w:val="24"/>
        </w:rPr>
        <w:t>variable can be predicted or estimated from the other,</w:t>
      </w:r>
      <w:r w:rsidR="005A7DAC">
        <w:rPr>
          <w:rFonts w:ascii="Arial" w:hAnsi="Arial" w:cs="Arial"/>
          <w:sz w:val="24"/>
          <w:szCs w:val="24"/>
        </w:rPr>
        <w:t xml:space="preserve"> </w:t>
      </w:r>
      <w:r w:rsidR="005A7DAC" w:rsidRPr="005A7DAC">
        <w:rPr>
          <w:rFonts w:ascii="Arial" w:hAnsi="Arial" w:cs="Arial"/>
          <w:sz w:val="24"/>
          <w:szCs w:val="24"/>
        </w:rPr>
        <w:t>depending on data availability and quality.</w:t>
      </w:r>
      <w:r w:rsidR="005A7DAC">
        <w:rPr>
          <w:rFonts w:ascii="Arial" w:hAnsi="Arial" w:cs="Arial"/>
          <w:sz w:val="24"/>
          <w:szCs w:val="24"/>
        </w:rPr>
        <w:t xml:space="preserve">” </w:t>
      </w:r>
      <w:r w:rsidR="005A7DAC" w:rsidRPr="005A7DAC">
        <w:rPr>
          <w:rFonts w:ascii="Arial" w:hAnsi="Arial" w:cs="Arial"/>
          <w:sz w:val="24"/>
          <w:szCs w:val="24"/>
        </w:rPr>
        <w:t>From the literature review, a variety of statistically</w:t>
      </w:r>
      <w:r w:rsidR="000C6506">
        <w:rPr>
          <w:rFonts w:ascii="Arial" w:hAnsi="Arial" w:cs="Arial"/>
          <w:sz w:val="24"/>
          <w:szCs w:val="24"/>
        </w:rPr>
        <w:t xml:space="preserve"> </w:t>
      </w:r>
      <w:r w:rsidR="005A7DAC" w:rsidRPr="005A7DAC">
        <w:rPr>
          <w:rFonts w:ascii="Arial" w:hAnsi="Arial" w:cs="Arial"/>
          <w:sz w:val="24"/>
          <w:szCs w:val="24"/>
        </w:rPr>
        <w:t>significant models or relationships between the IRI and PCI</w:t>
      </w:r>
      <w:r w:rsidR="000C6506">
        <w:rPr>
          <w:rFonts w:ascii="Arial" w:hAnsi="Arial" w:cs="Arial"/>
          <w:sz w:val="24"/>
          <w:szCs w:val="24"/>
        </w:rPr>
        <w:t xml:space="preserve"> </w:t>
      </w:r>
      <w:r w:rsidR="005A7DAC" w:rsidRPr="005A7DAC">
        <w:rPr>
          <w:rFonts w:ascii="Arial" w:hAnsi="Arial" w:cs="Arial"/>
          <w:sz w:val="24"/>
          <w:szCs w:val="24"/>
        </w:rPr>
        <w:t>(and other pavement indices) were identified for various</w:t>
      </w:r>
      <w:r w:rsidR="000C6506">
        <w:rPr>
          <w:rFonts w:ascii="Arial" w:hAnsi="Arial" w:cs="Arial"/>
          <w:sz w:val="24"/>
          <w:szCs w:val="24"/>
        </w:rPr>
        <w:t xml:space="preserve"> </w:t>
      </w:r>
      <w:r w:rsidR="005A7DAC" w:rsidRPr="005A7DAC">
        <w:rPr>
          <w:rFonts w:ascii="Arial" w:hAnsi="Arial" w:cs="Arial"/>
          <w:sz w:val="24"/>
          <w:szCs w:val="24"/>
        </w:rPr>
        <w:t>jurisdictions. The studies also reveal the notion that it is</w:t>
      </w:r>
      <w:r w:rsidR="000C6506">
        <w:rPr>
          <w:rFonts w:ascii="Arial" w:hAnsi="Arial" w:cs="Arial"/>
          <w:sz w:val="24"/>
          <w:szCs w:val="24"/>
        </w:rPr>
        <w:t xml:space="preserve"> </w:t>
      </w:r>
      <w:r w:rsidR="005A7DAC" w:rsidRPr="005A7DAC">
        <w:rPr>
          <w:rFonts w:ascii="Arial" w:hAnsi="Arial" w:cs="Arial"/>
          <w:sz w:val="24"/>
          <w:szCs w:val="24"/>
        </w:rPr>
        <w:t>acceptable to use the IRI as a predictor variable of PCI. The</w:t>
      </w:r>
      <w:r w:rsidR="000C6506">
        <w:rPr>
          <w:rFonts w:ascii="Arial" w:hAnsi="Arial" w:cs="Arial"/>
          <w:sz w:val="24"/>
          <w:szCs w:val="24"/>
        </w:rPr>
        <w:t xml:space="preserve"> </w:t>
      </w:r>
      <w:r w:rsidR="005A7DAC" w:rsidRPr="005A7DAC">
        <w:rPr>
          <w:rFonts w:ascii="Arial" w:hAnsi="Arial" w:cs="Arial"/>
          <w:sz w:val="24"/>
          <w:szCs w:val="24"/>
        </w:rPr>
        <w:t>IRI, which is a profile-based statistic, is shown to be an ideal</w:t>
      </w:r>
      <w:r w:rsidR="000C6506">
        <w:rPr>
          <w:rFonts w:ascii="Arial" w:hAnsi="Arial" w:cs="Arial"/>
          <w:sz w:val="24"/>
          <w:szCs w:val="24"/>
        </w:rPr>
        <w:t xml:space="preserve"> </w:t>
      </w:r>
      <w:r w:rsidR="005A7DAC" w:rsidRPr="005A7DAC">
        <w:rPr>
          <w:rFonts w:ascii="Arial" w:hAnsi="Arial" w:cs="Arial"/>
          <w:sz w:val="24"/>
          <w:szCs w:val="24"/>
        </w:rPr>
        <w:t>predictor (or independent variable) since it has the advantage</w:t>
      </w:r>
      <w:r w:rsidR="000C6506">
        <w:rPr>
          <w:rFonts w:ascii="Arial" w:hAnsi="Arial" w:cs="Arial"/>
          <w:sz w:val="24"/>
          <w:szCs w:val="24"/>
        </w:rPr>
        <w:t xml:space="preserve"> </w:t>
      </w:r>
      <w:r w:rsidR="005A7DAC" w:rsidRPr="005A7DAC">
        <w:rPr>
          <w:rFonts w:ascii="Arial" w:hAnsi="Arial" w:cs="Arial"/>
          <w:sz w:val="24"/>
          <w:szCs w:val="24"/>
        </w:rPr>
        <w:t>of being repeatable, reproducible, and stable with time. The</w:t>
      </w:r>
      <w:r w:rsidR="000C6506">
        <w:rPr>
          <w:rFonts w:ascii="Arial" w:hAnsi="Arial" w:cs="Arial"/>
          <w:sz w:val="24"/>
          <w:szCs w:val="24"/>
        </w:rPr>
        <w:t xml:space="preserve"> </w:t>
      </w:r>
      <w:r w:rsidR="005A7DAC" w:rsidRPr="005A7DAC">
        <w:rPr>
          <w:rFonts w:ascii="Arial" w:hAnsi="Arial" w:cs="Arial"/>
          <w:sz w:val="24"/>
          <w:szCs w:val="24"/>
        </w:rPr>
        <w:t>vast variations of models developed between IRI and PCI is a</w:t>
      </w:r>
      <w:r w:rsidR="000C6506">
        <w:rPr>
          <w:rFonts w:ascii="Arial" w:hAnsi="Arial" w:cs="Arial"/>
          <w:sz w:val="24"/>
          <w:szCs w:val="24"/>
        </w:rPr>
        <w:t xml:space="preserve"> </w:t>
      </w:r>
      <w:r w:rsidR="005A7DAC" w:rsidRPr="005A7DAC">
        <w:rPr>
          <w:rFonts w:ascii="Arial" w:hAnsi="Arial" w:cs="Arial"/>
          <w:sz w:val="24"/>
          <w:szCs w:val="24"/>
        </w:rPr>
        <w:t>strong indication that models can only be developed</w:t>
      </w:r>
      <w:r w:rsidR="000C6506">
        <w:rPr>
          <w:rFonts w:ascii="Arial" w:hAnsi="Arial" w:cs="Arial"/>
          <w:sz w:val="24"/>
          <w:szCs w:val="24"/>
        </w:rPr>
        <w:t xml:space="preserve"> </w:t>
      </w:r>
      <w:r w:rsidR="005A7DAC" w:rsidRPr="005A7DAC">
        <w:rPr>
          <w:rFonts w:ascii="Arial" w:hAnsi="Arial" w:cs="Arial"/>
          <w:sz w:val="24"/>
          <w:szCs w:val="24"/>
        </w:rPr>
        <w:t>exclusively for each jurisdiction. The statistically significant</w:t>
      </w:r>
      <w:r w:rsidR="000C6506">
        <w:rPr>
          <w:rFonts w:ascii="Arial" w:hAnsi="Arial" w:cs="Arial"/>
          <w:sz w:val="24"/>
          <w:szCs w:val="24"/>
        </w:rPr>
        <w:t xml:space="preserve"> </w:t>
      </w:r>
      <w:r w:rsidR="005A7DAC" w:rsidRPr="005A7DAC">
        <w:rPr>
          <w:rFonts w:ascii="Arial" w:hAnsi="Arial" w:cs="Arial"/>
          <w:sz w:val="24"/>
          <w:szCs w:val="24"/>
        </w:rPr>
        <w:t>relationships or models developed for these variables also</w:t>
      </w:r>
      <w:r w:rsidR="000C6506">
        <w:rPr>
          <w:rFonts w:ascii="Arial" w:hAnsi="Arial" w:cs="Arial"/>
          <w:sz w:val="24"/>
          <w:szCs w:val="24"/>
        </w:rPr>
        <w:t xml:space="preserve"> </w:t>
      </w:r>
      <w:r w:rsidR="005A7DAC" w:rsidRPr="005A7DAC">
        <w:rPr>
          <w:rFonts w:ascii="Arial" w:hAnsi="Arial" w:cs="Arial"/>
          <w:sz w:val="24"/>
          <w:szCs w:val="24"/>
        </w:rPr>
        <w:t>suggest that one variable can be predicted or estimated from</w:t>
      </w:r>
      <w:r w:rsidR="000C6506">
        <w:rPr>
          <w:rFonts w:ascii="Arial" w:hAnsi="Arial" w:cs="Arial"/>
          <w:sz w:val="24"/>
          <w:szCs w:val="24"/>
        </w:rPr>
        <w:t xml:space="preserve"> </w:t>
      </w:r>
      <w:r w:rsidR="005A7DAC" w:rsidRPr="005A7DAC">
        <w:rPr>
          <w:rFonts w:ascii="Arial" w:hAnsi="Arial" w:cs="Arial"/>
          <w:sz w:val="24"/>
          <w:szCs w:val="24"/>
        </w:rPr>
        <w:t>the other.</w:t>
      </w:r>
      <w:r w:rsidR="002911F8">
        <w:rPr>
          <w:rFonts w:ascii="Arial" w:hAnsi="Arial" w:cs="Arial"/>
          <w:sz w:val="24"/>
          <w:szCs w:val="24"/>
        </w:rPr>
        <w:t xml:space="preserve">” </w:t>
      </w:r>
      <w:sdt>
        <w:sdtPr>
          <w:rPr>
            <w:rFonts w:ascii="Arial" w:hAnsi="Arial" w:cs="Arial"/>
            <w:sz w:val="24"/>
            <w:szCs w:val="24"/>
          </w:rPr>
          <w:id w:val="372429602"/>
          <w:citation/>
        </w:sdtPr>
        <w:sdtEndPr/>
        <w:sdtContent>
          <w:r w:rsidR="002911F8">
            <w:rPr>
              <w:rFonts w:ascii="Arial" w:hAnsi="Arial" w:cs="Arial"/>
              <w:sz w:val="24"/>
              <w:szCs w:val="24"/>
            </w:rPr>
            <w:fldChar w:fldCharType="begin"/>
          </w:r>
          <w:r w:rsidR="002911F8">
            <w:rPr>
              <w:rFonts w:ascii="Arial" w:hAnsi="Arial" w:cs="Arial"/>
              <w:sz w:val="24"/>
              <w:szCs w:val="24"/>
            </w:rPr>
            <w:instrText xml:space="preserve"> CITATION Ste15 \l 1033 </w:instrText>
          </w:r>
          <w:r w:rsidR="002911F8">
            <w:rPr>
              <w:rFonts w:ascii="Arial" w:hAnsi="Arial" w:cs="Arial"/>
              <w:sz w:val="24"/>
              <w:szCs w:val="24"/>
            </w:rPr>
            <w:fldChar w:fldCharType="separate"/>
          </w:r>
          <w:r w:rsidR="0069378D" w:rsidRPr="0069378D">
            <w:rPr>
              <w:rFonts w:ascii="Arial" w:hAnsi="Arial" w:cs="Arial"/>
              <w:noProof/>
              <w:sz w:val="24"/>
              <w:szCs w:val="24"/>
            </w:rPr>
            <w:t>(Stephen A. Arhin, 2015)</w:t>
          </w:r>
          <w:r w:rsidR="002911F8">
            <w:rPr>
              <w:rFonts w:ascii="Arial" w:hAnsi="Arial" w:cs="Arial"/>
              <w:sz w:val="24"/>
              <w:szCs w:val="24"/>
            </w:rPr>
            <w:fldChar w:fldCharType="end"/>
          </w:r>
        </w:sdtContent>
      </w:sdt>
    </w:p>
    <w:p w14:paraId="113193CA" w14:textId="4D0FDEA4" w:rsidR="0069378D" w:rsidRPr="0069378D" w:rsidRDefault="0069378D" w:rsidP="0069378D">
      <w:pPr>
        <w:pStyle w:val="ListParagraph"/>
        <w:numPr>
          <w:ilvl w:val="0"/>
          <w:numId w:val="1"/>
        </w:numPr>
        <w:spacing w:line="360" w:lineRule="auto"/>
        <w:rPr>
          <w:rFonts w:ascii="Arial" w:hAnsi="Arial" w:cs="Arial"/>
          <w:sz w:val="24"/>
          <w:szCs w:val="24"/>
        </w:rPr>
      </w:pPr>
      <w:r>
        <w:rPr>
          <w:rFonts w:ascii="Arial" w:hAnsi="Arial" w:cs="Arial"/>
          <w:sz w:val="24"/>
          <w:szCs w:val="24"/>
        </w:rPr>
        <w:t>Causes of Pavement Deterioration</w:t>
      </w:r>
    </w:p>
    <w:p w14:paraId="3DFBD156" w14:textId="77777777" w:rsidR="00CE7816" w:rsidRPr="00CE7816" w:rsidRDefault="00CE7816" w:rsidP="00CE7816">
      <w:pPr>
        <w:spacing w:line="360" w:lineRule="auto"/>
        <w:rPr>
          <w:rFonts w:ascii="Arial" w:hAnsi="Arial" w:cs="Arial"/>
          <w:sz w:val="24"/>
          <w:szCs w:val="24"/>
        </w:rPr>
      </w:pPr>
      <w:r>
        <w:rPr>
          <w:rFonts w:ascii="Arial" w:hAnsi="Arial" w:cs="Arial"/>
          <w:sz w:val="24"/>
          <w:szCs w:val="24"/>
        </w:rPr>
        <w:t>“</w:t>
      </w:r>
      <w:r w:rsidRPr="00CE7816">
        <w:rPr>
          <w:rFonts w:ascii="Arial" w:hAnsi="Arial" w:cs="Arial"/>
          <w:sz w:val="24"/>
          <w:szCs w:val="24"/>
        </w:rPr>
        <w:t>IV. CAUSES OF PAVEMENT DETERIORATION</w:t>
      </w:r>
    </w:p>
    <w:p w14:paraId="009A9A80"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w:t>
      </w:r>
      <w:proofErr w:type="spellStart"/>
      <w:r w:rsidRPr="00CE7816">
        <w:rPr>
          <w:rFonts w:ascii="Arial" w:hAnsi="Arial" w:cs="Arial"/>
          <w:sz w:val="24"/>
          <w:szCs w:val="24"/>
        </w:rPr>
        <w:t>i</w:t>
      </w:r>
      <w:proofErr w:type="spellEnd"/>
      <w:r w:rsidRPr="00CE7816">
        <w:rPr>
          <w:rFonts w:ascii="Arial" w:hAnsi="Arial" w:cs="Arial"/>
          <w:sz w:val="24"/>
          <w:szCs w:val="24"/>
        </w:rPr>
        <w:t>)Sudden increase in traffic loading especially on new roads where the design is based on lesser traffic is a</w:t>
      </w:r>
    </w:p>
    <w:p w14:paraId="4625D433"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major cause of cracking. After construction of good road, traffic of other roads also shifts to that road. This</w:t>
      </w:r>
    </w:p>
    <w:p w14:paraId="344A8F1B"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lastRenderedPageBreak/>
        <w:t>accelerates the fatigue failure (Alligator Cracking).</w:t>
      </w:r>
    </w:p>
    <w:p w14:paraId="2B60D74D"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(ii)Temperature variation ranging from 50º C to below zero conditions in the plain areas of North and Central</w:t>
      </w:r>
    </w:p>
    <w:p w14:paraId="3D306C4E"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India leads to bleeding and cracking.</w:t>
      </w:r>
    </w:p>
    <w:p w14:paraId="05B7C32F"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(iii) Provision of poor shoulders leads to edge failures.</w:t>
      </w:r>
    </w:p>
    <w:p w14:paraId="75C78331" w14:textId="77777777"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(iv) Provision of poor clayey subgrade results in corrugation at the surface and increase in unevenness.</w:t>
      </w:r>
    </w:p>
    <w:p w14:paraId="471A6D8D" w14:textId="5E5C5F88" w:rsidR="00CE7816" w:rsidRPr="00CE7816" w:rsidRDefault="00CE7816" w:rsidP="00CE7816">
      <w:pPr>
        <w:spacing w:line="360" w:lineRule="auto"/>
        <w:rPr>
          <w:rFonts w:ascii="Arial" w:hAnsi="Arial" w:cs="Arial"/>
          <w:sz w:val="24"/>
          <w:szCs w:val="24"/>
        </w:rPr>
      </w:pPr>
      <w:r w:rsidRPr="00CE7816">
        <w:rPr>
          <w:rFonts w:ascii="Arial" w:hAnsi="Arial" w:cs="Arial"/>
          <w:sz w:val="24"/>
          <w:szCs w:val="24"/>
        </w:rPr>
        <w:t>(v) Poor drainage conditions especially during rainy seasons, force the water to enter the pavement from the</w:t>
      </w:r>
      <w:r>
        <w:rPr>
          <w:rFonts w:ascii="Arial" w:hAnsi="Arial" w:cs="Arial"/>
          <w:sz w:val="24"/>
          <w:szCs w:val="24"/>
        </w:rPr>
        <w:t xml:space="preserve"> </w:t>
      </w:r>
      <w:r w:rsidRPr="00CE7816">
        <w:rPr>
          <w:rFonts w:ascii="Arial" w:hAnsi="Arial" w:cs="Arial"/>
          <w:sz w:val="24"/>
          <w:szCs w:val="24"/>
        </w:rPr>
        <w:t>sides as well as from the top surface. In case of open graded bituminous layer, this phenomenon becomes more</w:t>
      </w:r>
      <w:r>
        <w:rPr>
          <w:rFonts w:ascii="Arial" w:hAnsi="Arial" w:cs="Arial"/>
          <w:sz w:val="24"/>
          <w:szCs w:val="24"/>
        </w:rPr>
        <w:t xml:space="preserve"> </w:t>
      </w:r>
      <w:r w:rsidRPr="00CE7816">
        <w:rPr>
          <w:rFonts w:ascii="Arial" w:hAnsi="Arial" w:cs="Arial"/>
          <w:sz w:val="24"/>
          <w:szCs w:val="24"/>
        </w:rPr>
        <w:t>dangerous and the top layer gets detached from the lower layers.</w:t>
      </w:r>
    </w:p>
    <w:p w14:paraId="51A29171" w14:textId="74DD1B0F" w:rsidR="00CF0546" w:rsidRDefault="00CE7816" w:rsidP="00CE7816">
      <w:pPr>
        <w:spacing w:line="360" w:lineRule="auto"/>
        <w:rPr>
          <w:rFonts w:ascii="Arial" w:hAnsi="Arial" w:cs="Arial"/>
          <w:sz w:val="24"/>
          <w:szCs w:val="24"/>
        </w:rPr>
      </w:pPr>
      <w:r w:rsidRPr="00CE7816">
        <w:rPr>
          <w:rFonts w:ascii="Arial" w:hAnsi="Arial" w:cs="Arial"/>
          <w:sz w:val="24"/>
          <w:szCs w:val="24"/>
        </w:rPr>
        <w:t>(vi) If the temperature of bitumen/bituminous mixes is not maintained properly, then it also leads to pavement</w:t>
      </w:r>
      <w:r>
        <w:rPr>
          <w:rFonts w:ascii="Arial" w:hAnsi="Arial" w:cs="Arial"/>
          <w:sz w:val="24"/>
          <w:szCs w:val="24"/>
        </w:rPr>
        <w:t xml:space="preserve"> </w:t>
      </w:r>
      <w:r w:rsidRPr="00CE7816">
        <w:rPr>
          <w:rFonts w:ascii="Arial" w:hAnsi="Arial" w:cs="Arial"/>
          <w:sz w:val="24"/>
          <w:szCs w:val="24"/>
        </w:rPr>
        <w:t xml:space="preserve">failure. </w:t>
      </w:r>
      <w:proofErr w:type="spellStart"/>
      <w:r w:rsidRPr="00CE7816">
        <w:rPr>
          <w:rFonts w:ascii="Arial" w:hAnsi="Arial" w:cs="Arial"/>
          <w:sz w:val="24"/>
          <w:szCs w:val="24"/>
        </w:rPr>
        <w:t>Over heating</w:t>
      </w:r>
      <w:proofErr w:type="spellEnd"/>
      <w:r w:rsidRPr="00CE7816">
        <w:rPr>
          <w:rFonts w:ascii="Arial" w:hAnsi="Arial" w:cs="Arial"/>
          <w:sz w:val="24"/>
          <w:szCs w:val="24"/>
        </w:rPr>
        <w:t xml:space="preserve"> of bitumen reduces the binding property of bitumen. If the temperature of bituminous mix</w:t>
      </w:r>
      <w:r>
        <w:rPr>
          <w:rFonts w:ascii="Arial" w:hAnsi="Arial" w:cs="Arial"/>
          <w:sz w:val="24"/>
          <w:szCs w:val="24"/>
        </w:rPr>
        <w:t xml:space="preserve"> </w:t>
      </w:r>
      <w:r w:rsidRPr="00CE7816">
        <w:rPr>
          <w:rFonts w:ascii="Arial" w:hAnsi="Arial" w:cs="Arial"/>
          <w:sz w:val="24"/>
          <w:szCs w:val="24"/>
        </w:rPr>
        <w:t>has been lowered down then the compaction will not be proper leading to longitudinal corrugations.</w:t>
      </w:r>
      <w:r>
        <w:rPr>
          <w:rFonts w:ascii="Arial" w:hAnsi="Arial" w:cs="Arial"/>
          <w:sz w:val="24"/>
          <w:szCs w:val="24"/>
        </w:rPr>
        <w:t>”</w:t>
      </w:r>
      <w:sdt>
        <w:sdtPr>
          <w:rPr>
            <w:rFonts w:ascii="Arial" w:hAnsi="Arial" w:cs="Arial"/>
            <w:sz w:val="24"/>
            <w:szCs w:val="24"/>
          </w:rPr>
          <w:id w:val="-636955090"/>
          <w:citation/>
        </w:sdtPr>
        <w:sdtEndPr/>
        <w:sdtContent>
          <w:r>
            <w:rPr>
              <w:rFonts w:ascii="Arial" w:hAnsi="Arial" w:cs="Arial"/>
              <w:sz w:val="24"/>
              <w:szCs w:val="24"/>
            </w:rPr>
            <w:fldChar w:fldCharType="begin"/>
          </w:r>
          <w:r>
            <w:rPr>
              <w:rFonts w:ascii="Arial" w:hAnsi="Arial" w:cs="Arial"/>
              <w:sz w:val="24"/>
              <w:szCs w:val="24"/>
            </w:rPr>
            <w:instrText xml:space="preserve"> CITATION Sha13 \l 1033 </w:instrText>
          </w:r>
          <w:r>
            <w:rPr>
              <w:rFonts w:ascii="Arial" w:hAnsi="Arial" w:cs="Arial"/>
              <w:sz w:val="24"/>
              <w:szCs w:val="24"/>
            </w:rPr>
            <w:fldChar w:fldCharType="separate"/>
          </w:r>
          <w:r w:rsidR="0069378D">
            <w:rPr>
              <w:rFonts w:ascii="Arial" w:hAnsi="Arial" w:cs="Arial"/>
              <w:noProof/>
              <w:sz w:val="24"/>
              <w:szCs w:val="24"/>
            </w:rPr>
            <w:t xml:space="preserve"> </w:t>
          </w:r>
          <w:r w:rsidR="0069378D" w:rsidRPr="0069378D">
            <w:rPr>
              <w:rFonts w:ascii="Arial" w:hAnsi="Arial" w:cs="Arial"/>
              <w:noProof/>
              <w:sz w:val="24"/>
              <w:szCs w:val="24"/>
            </w:rPr>
            <w:t>(Sharad.S.Adlinge, 2013)</w:t>
          </w:r>
          <w:r>
            <w:rPr>
              <w:rFonts w:ascii="Arial" w:hAnsi="Arial" w:cs="Arial"/>
              <w:sz w:val="24"/>
              <w:szCs w:val="24"/>
            </w:rPr>
            <w:fldChar w:fldCharType="end"/>
          </w:r>
        </w:sdtContent>
      </w:sdt>
    </w:p>
    <w:p w14:paraId="6163F45A" w14:textId="4116B681" w:rsidR="0069378D" w:rsidRPr="0069378D" w:rsidRDefault="0069378D" w:rsidP="0069378D">
      <w:pPr>
        <w:pStyle w:val="ListParagraph"/>
        <w:numPr>
          <w:ilvl w:val="0"/>
          <w:numId w:val="1"/>
        </w:numPr>
        <w:spacing w:line="360" w:lineRule="auto"/>
        <w:rPr>
          <w:rFonts w:ascii="Arial" w:hAnsi="Arial" w:cs="Arial"/>
          <w:sz w:val="24"/>
          <w:szCs w:val="24"/>
        </w:rPr>
      </w:pPr>
      <w:r>
        <w:rPr>
          <w:rFonts w:ascii="Arial" w:hAnsi="Arial" w:cs="Arial"/>
          <w:sz w:val="24"/>
          <w:szCs w:val="24"/>
        </w:rPr>
        <w:t>IRI measurement range</w:t>
      </w:r>
    </w:p>
    <w:p w14:paraId="6E6D2727" w14:textId="32B35641" w:rsidR="001B6590" w:rsidRDefault="001B6590" w:rsidP="00CE7816">
      <w:pPr>
        <w:spacing w:line="360" w:lineRule="auto"/>
        <w:rPr>
          <w:rFonts w:ascii="Arial" w:hAnsi="Arial" w:cs="Arial"/>
          <w:sz w:val="24"/>
          <w:szCs w:val="24"/>
        </w:rPr>
      </w:pPr>
      <w:r>
        <w:rPr>
          <w:rFonts w:ascii="Arial" w:hAnsi="Arial" w:cs="Arial"/>
          <w:sz w:val="24"/>
          <w:szCs w:val="24"/>
        </w:rPr>
        <w:t>“</w:t>
      </w:r>
    </w:p>
    <w:p w14:paraId="5B1A4726" w14:textId="77777777" w:rsidR="001B6590" w:rsidRPr="001B6590" w:rsidRDefault="001B6590" w:rsidP="001B6590">
      <w:pPr>
        <w:spacing w:line="360" w:lineRule="auto"/>
        <w:rPr>
          <w:rFonts w:ascii="Arial" w:hAnsi="Arial" w:cs="Arial"/>
          <w:sz w:val="24"/>
          <w:szCs w:val="24"/>
        </w:rPr>
      </w:pPr>
      <w:r w:rsidRPr="001B6590">
        <w:rPr>
          <w:rFonts w:ascii="Arial" w:hAnsi="Arial" w:cs="Arial"/>
          <w:sz w:val="24"/>
          <w:szCs w:val="24"/>
        </w:rPr>
        <w:t>Good: IRI less than 95 inches/mile</w:t>
      </w:r>
    </w:p>
    <w:p w14:paraId="1A286BED" w14:textId="77777777" w:rsidR="001B6590" w:rsidRPr="001B6590" w:rsidRDefault="001B6590" w:rsidP="001B6590">
      <w:pPr>
        <w:spacing w:line="360" w:lineRule="auto"/>
        <w:rPr>
          <w:rFonts w:ascii="Arial" w:hAnsi="Arial" w:cs="Arial"/>
          <w:sz w:val="24"/>
          <w:szCs w:val="24"/>
        </w:rPr>
      </w:pPr>
      <w:r w:rsidRPr="001B6590">
        <w:rPr>
          <w:rFonts w:ascii="Arial" w:hAnsi="Arial" w:cs="Arial"/>
          <w:sz w:val="24"/>
          <w:szCs w:val="24"/>
        </w:rPr>
        <w:t>Fair: IRI between 95 and 170 inches/mile</w:t>
      </w:r>
    </w:p>
    <w:p w14:paraId="2500D0A9" w14:textId="5BB0DE5F" w:rsidR="001B6590" w:rsidRDefault="001B6590" w:rsidP="001B6590">
      <w:pPr>
        <w:spacing w:line="360" w:lineRule="auto"/>
        <w:rPr>
          <w:rFonts w:ascii="Arial" w:hAnsi="Arial" w:cs="Arial"/>
          <w:sz w:val="24"/>
          <w:szCs w:val="24"/>
        </w:rPr>
      </w:pPr>
      <w:r w:rsidRPr="001B6590">
        <w:rPr>
          <w:rFonts w:ascii="Arial" w:hAnsi="Arial" w:cs="Arial"/>
          <w:sz w:val="24"/>
          <w:szCs w:val="24"/>
        </w:rPr>
        <w:t>Poor: IRI greater than 170 inches/mile</w:t>
      </w:r>
    </w:p>
    <w:p w14:paraId="2B4FCE69" w14:textId="1E1C21BA" w:rsidR="001B6590" w:rsidRDefault="001B6590" w:rsidP="001B6590">
      <w:pPr>
        <w:spacing w:line="360" w:lineRule="auto"/>
        <w:rPr>
          <w:rFonts w:ascii="Arial" w:hAnsi="Arial" w:cs="Arial"/>
          <w:sz w:val="24"/>
          <w:szCs w:val="24"/>
        </w:rPr>
      </w:pPr>
      <w:r>
        <w:rPr>
          <w:rFonts w:ascii="Arial" w:hAnsi="Arial" w:cs="Arial"/>
          <w:sz w:val="24"/>
          <w:szCs w:val="24"/>
        </w:rPr>
        <w:t>“</w:t>
      </w:r>
      <w:sdt>
        <w:sdtPr>
          <w:rPr>
            <w:rFonts w:ascii="Arial" w:hAnsi="Arial" w:cs="Arial"/>
            <w:sz w:val="24"/>
            <w:szCs w:val="24"/>
          </w:rPr>
          <w:id w:val="-2067562902"/>
          <w:citation/>
        </w:sdtPr>
        <w:sdtEndPr/>
        <w:sdtContent>
          <w:r>
            <w:rPr>
              <w:rFonts w:ascii="Arial" w:hAnsi="Arial" w:cs="Arial"/>
              <w:sz w:val="24"/>
              <w:szCs w:val="24"/>
            </w:rPr>
            <w:fldChar w:fldCharType="begin"/>
          </w:r>
          <w:r>
            <w:rPr>
              <w:rFonts w:ascii="Arial" w:hAnsi="Arial" w:cs="Arial"/>
              <w:sz w:val="24"/>
              <w:szCs w:val="24"/>
            </w:rPr>
            <w:instrText xml:space="preserve"> CITATION MDO17 \l 1033 </w:instrText>
          </w:r>
          <w:r>
            <w:rPr>
              <w:rFonts w:ascii="Arial" w:hAnsi="Arial" w:cs="Arial"/>
              <w:sz w:val="24"/>
              <w:szCs w:val="24"/>
            </w:rPr>
            <w:fldChar w:fldCharType="separate"/>
          </w:r>
          <w:r w:rsidR="0069378D">
            <w:rPr>
              <w:rFonts w:ascii="Arial" w:hAnsi="Arial" w:cs="Arial"/>
              <w:noProof/>
              <w:sz w:val="24"/>
              <w:szCs w:val="24"/>
            </w:rPr>
            <w:t xml:space="preserve"> </w:t>
          </w:r>
          <w:r w:rsidR="0069378D" w:rsidRPr="0069378D">
            <w:rPr>
              <w:rFonts w:ascii="Arial" w:hAnsi="Arial" w:cs="Arial"/>
              <w:noProof/>
              <w:sz w:val="24"/>
              <w:szCs w:val="24"/>
            </w:rPr>
            <w:t>(MDOT, 2017)</w:t>
          </w:r>
          <w:r>
            <w:rPr>
              <w:rFonts w:ascii="Arial" w:hAnsi="Arial" w:cs="Arial"/>
              <w:sz w:val="24"/>
              <w:szCs w:val="24"/>
            </w:rPr>
            <w:fldChar w:fldCharType="end"/>
          </w:r>
        </w:sdtContent>
      </w:sdt>
    </w:p>
    <w:p w14:paraId="74C7D347" w14:textId="1F643EEB" w:rsidR="00AB00E6" w:rsidRDefault="00AB00E6" w:rsidP="001B6590">
      <w:pPr>
        <w:spacing w:line="360" w:lineRule="auto"/>
        <w:rPr>
          <w:rFonts w:ascii="Arial" w:hAnsi="Arial" w:cs="Arial"/>
          <w:sz w:val="24"/>
          <w:szCs w:val="24"/>
        </w:rPr>
      </w:pPr>
    </w:p>
    <w:p w14:paraId="63CE7EDB" w14:textId="3DDB6070" w:rsidR="0069378D" w:rsidRPr="0069378D" w:rsidRDefault="0069378D" w:rsidP="0069378D">
      <w:pPr>
        <w:pStyle w:val="ListParagraph"/>
        <w:numPr>
          <w:ilvl w:val="0"/>
          <w:numId w:val="1"/>
        </w:numPr>
        <w:spacing w:line="360" w:lineRule="auto"/>
        <w:rPr>
          <w:rFonts w:ascii="Arial" w:hAnsi="Arial" w:cs="Arial"/>
          <w:sz w:val="24"/>
          <w:szCs w:val="24"/>
        </w:rPr>
      </w:pPr>
      <w:r>
        <w:rPr>
          <w:rFonts w:ascii="Arial" w:hAnsi="Arial" w:cs="Arial"/>
          <w:sz w:val="24"/>
          <w:szCs w:val="24"/>
        </w:rPr>
        <w:t>PCI measurement:</w:t>
      </w:r>
    </w:p>
    <w:p w14:paraId="16C2BBA6" w14:textId="6543BD4E" w:rsidR="00AB00E6" w:rsidRDefault="00AB00E6" w:rsidP="001B6590">
      <w:pPr>
        <w:spacing w:line="360" w:lineRule="auto"/>
        <w:rPr>
          <w:rFonts w:ascii="Arial" w:hAnsi="Arial" w:cs="Arial"/>
          <w:sz w:val="24"/>
          <w:szCs w:val="24"/>
        </w:rPr>
      </w:pPr>
      <w:r>
        <w:rPr>
          <w:noProof/>
        </w:rPr>
        <w:lastRenderedPageBreak/>
        <w:drawing>
          <wp:inline distT="0" distB="0" distL="0" distR="0" wp14:anchorId="5A14B8AC" wp14:editId="1EDFA7F0">
            <wp:extent cx="3723087"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522" cy="7588895"/>
                    </a:xfrm>
                    <a:prstGeom prst="rect">
                      <a:avLst/>
                    </a:prstGeom>
                    <a:noFill/>
                    <a:ln>
                      <a:noFill/>
                    </a:ln>
                  </pic:spPr>
                </pic:pic>
              </a:graphicData>
            </a:graphic>
          </wp:inline>
        </w:drawing>
      </w:r>
      <w:sdt>
        <w:sdtPr>
          <w:rPr>
            <w:rFonts w:ascii="Arial" w:hAnsi="Arial" w:cs="Arial"/>
            <w:sz w:val="24"/>
            <w:szCs w:val="24"/>
          </w:rPr>
          <w:id w:val="-1027557981"/>
          <w:citation/>
        </w:sdtPr>
        <w:sdtEndPr/>
        <w:sdtContent>
          <w:r>
            <w:rPr>
              <w:rFonts w:ascii="Arial" w:hAnsi="Arial" w:cs="Arial"/>
              <w:sz w:val="24"/>
              <w:szCs w:val="24"/>
            </w:rPr>
            <w:fldChar w:fldCharType="begin"/>
          </w:r>
          <w:r>
            <w:rPr>
              <w:rFonts w:ascii="Arial" w:hAnsi="Arial" w:cs="Arial"/>
              <w:sz w:val="24"/>
              <w:szCs w:val="24"/>
            </w:rPr>
            <w:instrText xml:space="preserve"> CITATION FAAnd \l 1033 </w:instrText>
          </w:r>
          <w:r>
            <w:rPr>
              <w:rFonts w:ascii="Arial" w:hAnsi="Arial" w:cs="Arial"/>
              <w:sz w:val="24"/>
              <w:szCs w:val="24"/>
            </w:rPr>
            <w:fldChar w:fldCharType="separate"/>
          </w:r>
          <w:r w:rsidR="0069378D">
            <w:rPr>
              <w:rFonts w:ascii="Arial" w:hAnsi="Arial" w:cs="Arial"/>
              <w:noProof/>
              <w:sz w:val="24"/>
              <w:szCs w:val="24"/>
            </w:rPr>
            <w:t xml:space="preserve"> </w:t>
          </w:r>
          <w:r w:rsidR="0069378D" w:rsidRPr="0069378D">
            <w:rPr>
              <w:rFonts w:ascii="Arial" w:hAnsi="Arial" w:cs="Arial"/>
              <w:noProof/>
              <w:sz w:val="24"/>
              <w:szCs w:val="24"/>
            </w:rPr>
            <w:t>(FAA, n.d.)</w:t>
          </w:r>
          <w:r>
            <w:rPr>
              <w:rFonts w:ascii="Arial" w:hAnsi="Arial" w:cs="Arial"/>
              <w:sz w:val="24"/>
              <w:szCs w:val="24"/>
            </w:rPr>
            <w:fldChar w:fldCharType="end"/>
          </w:r>
        </w:sdtContent>
      </w:sdt>
      <w:r>
        <w:rPr>
          <w:rFonts w:ascii="Arial" w:hAnsi="Arial" w:cs="Arial"/>
          <w:sz w:val="24"/>
          <w:szCs w:val="24"/>
        </w:rPr>
        <w:t xml:space="preserve"> (</w:t>
      </w:r>
      <w:r w:rsidR="00B814E1">
        <w:rPr>
          <w:rFonts w:ascii="Arial" w:hAnsi="Arial" w:cs="Arial"/>
          <w:sz w:val="24"/>
          <w:szCs w:val="24"/>
        </w:rPr>
        <w:t>PCI, FAA -</w:t>
      </w:r>
      <w:r w:rsidRPr="00AB00E6">
        <w:rPr>
          <w:rFonts w:ascii="Arial" w:hAnsi="Arial" w:cs="Arial"/>
          <w:sz w:val="24"/>
          <w:szCs w:val="24"/>
        </w:rPr>
        <w:t>Federal Aviation Administration</w:t>
      </w:r>
      <w:r>
        <w:rPr>
          <w:rFonts w:ascii="Arial" w:hAnsi="Arial" w:cs="Arial"/>
          <w:sz w:val="24"/>
          <w:szCs w:val="24"/>
        </w:rPr>
        <w:t>)</w:t>
      </w:r>
    </w:p>
    <w:p w14:paraId="634798B1" w14:textId="517A71D8" w:rsidR="0069378D" w:rsidRPr="0069378D" w:rsidRDefault="0069378D" w:rsidP="0069378D">
      <w:pPr>
        <w:pStyle w:val="ListParagraph"/>
        <w:numPr>
          <w:ilvl w:val="0"/>
          <w:numId w:val="1"/>
        </w:numPr>
        <w:spacing w:line="360" w:lineRule="auto"/>
        <w:rPr>
          <w:rFonts w:ascii="Arial" w:hAnsi="Arial" w:cs="Arial"/>
          <w:sz w:val="24"/>
          <w:szCs w:val="24"/>
        </w:rPr>
      </w:pPr>
      <w:r w:rsidRPr="0069378D">
        <w:rPr>
          <w:rFonts w:ascii="Arial" w:hAnsi="Arial" w:cs="Arial"/>
          <w:sz w:val="24"/>
          <w:szCs w:val="24"/>
        </w:rPr>
        <w:lastRenderedPageBreak/>
        <w:t>DMI measurement range:</w:t>
      </w:r>
    </w:p>
    <w:p w14:paraId="5FA8FF3F" w14:textId="40C511C5" w:rsidR="00555353" w:rsidRDefault="005F39C2" w:rsidP="005F39C2">
      <w:pPr>
        <w:spacing w:line="360" w:lineRule="auto"/>
        <w:rPr>
          <w:rFonts w:ascii="Arial" w:hAnsi="Arial" w:cs="Arial"/>
          <w:sz w:val="24"/>
          <w:szCs w:val="24"/>
        </w:rPr>
      </w:pPr>
      <w:r>
        <w:rPr>
          <w:rFonts w:ascii="Arial" w:hAnsi="Arial" w:cs="Arial"/>
          <w:sz w:val="24"/>
          <w:szCs w:val="24"/>
        </w:rPr>
        <w:t>“</w:t>
      </w:r>
      <w:r w:rsidRPr="005F39C2">
        <w:rPr>
          <w:rFonts w:ascii="Arial" w:hAnsi="Arial" w:cs="Arial"/>
          <w:sz w:val="24"/>
          <w:szCs w:val="24"/>
        </w:rPr>
        <w:t>DMI is the subjective Distress Manifestation Index ranging from 0 (worst condition) to 10</w:t>
      </w:r>
      <w:r>
        <w:rPr>
          <w:rFonts w:ascii="Arial" w:hAnsi="Arial" w:cs="Arial"/>
          <w:sz w:val="24"/>
          <w:szCs w:val="24"/>
        </w:rPr>
        <w:t xml:space="preserve"> </w:t>
      </w:r>
      <w:r w:rsidRPr="005F39C2">
        <w:rPr>
          <w:rFonts w:ascii="Arial" w:hAnsi="Arial" w:cs="Arial"/>
          <w:sz w:val="24"/>
          <w:szCs w:val="24"/>
        </w:rPr>
        <w:t>(excellent condition)</w:t>
      </w:r>
      <w:r>
        <w:rPr>
          <w:rFonts w:ascii="Arial" w:hAnsi="Arial" w:cs="Arial"/>
          <w:sz w:val="24"/>
          <w:szCs w:val="24"/>
        </w:rPr>
        <w:t xml:space="preserve">” </w:t>
      </w:r>
      <w:sdt>
        <w:sdtPr>
          <w:rPr>
            <w:rFonts w:ascii="Arial" w:hAnsi="Arial" w:cs="Arial"/>
            <w:sz w:val="24"/>
            <w:szCs w:val="24"/>
          </w:rPr>
          <w:id w:val="180099382"/>
          <w:citation/>
        </w:sdtPr>
        <w:sdtEndPr/>
        <w:sdtContent>
          <w:r>
            <w:rPr>
              <w:rFonts w:ascii="Arial" w:hAnsi="Arial" w:cs="Arial"/>
              <w:sz w:val="24"/>
              <w:szCs w:val="24"/>
            </w:rPr>
            <w:fldChar w:fldCharType="begin"/>
          </w:r>
          <w:r>
            <w:rPr>
              <w:rFonts w:ascii="Arial" w:hAnsi="Arial" w:cs="Arial"/>
              <w:sz w:val="24"/>
              <w:szCs w:val="24"/>
            </w:rPr>
            <w:instrText xml:space="preserve"> CITATION Dav20 \l 1033 </w:instrText>
          </w:r>
          <w:r>
            <w:rPr>
              <w:rFonts w:ascii="Arial" w:hAnsi="Arial" w:cs="Arial"/>
              <w:sz w:val="24"/>
              <w:szCs w:val="24"/>
            </w:rPr>
            <w:fldChar w:fldCharType="separate"/>
          </w:r>
          <w:r w:rsidR="0069378D" w:rsidRPr="0069378D">
            <w:rPr>
              <w:rFonts w:ascii="Arial" w:hAnsi="Arial" w:cs="Arial"/>
              <w:noProof/>
              <w:sz w:val="24"/>
              <w:szCs w:val="24"/>
            </w:rPr>
            <w:t>(Veen, 2020)</w:t>
          </w:r>
          <w:r>
            <w:rPr>
              <w:rFonts w:ascii="Arial" w:hAnsi="Arial" w:cs="Arial"/>
              <w:sz w:val="24"/>
              <w:szCs w:val="24"/>
            </w:rPr>
            <w:fldChar w:fldCharType="end"/>
          </w:r>
        </w:sdtContent>
      </w:sdt>
    </w:p>
    <w:p w14:paraId="63DA371A" w14:textId="77777777" w:rsidR="00555353" w:rsidRDefault="00555353" w:rsidP="001B6590">
      <w:pPr>
        <w:spacing w:line="360" w:lineRule="auto"/>
        <w:rPr>
          <w:rFonts w:ascii="Arial" w:hAnsi="Arial" w:cs="Arial"/>
          <w:sz w:val="24"/>
          <w:szCs w:val="24"/>
        </w:rPr>
      </w:pPr>
    </w:p>
    <w:p w14:paraId="70BE9249" w14:textId="77777777" w:rsidR="00CF0546" w:rsidRDefault="00CF0546">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546336054"/>
        <w:docPartObj>
          <w:docPartGallery w:val="Bibliographies"/>
          <w:docPartUnique/>
        </w:docPartObj>
      </w:sdtPr>
      <w:sdtEndPr/>
      <w:sdtContent>
        <w:p w14:paraId="74C8AB18" w14:textId="03B767CE" w:rsidR="00CF0546" w:rsidRDefault="00CF0546">
          <w:pPr>
            <w:pStyle w:val="Heading1"/>
          </w:pPr>
          <w:r>
            <w:t>References</w:t>
          </w:r>
        </w:p>
        <w:sdt>
          <w:sdtPr>
            <w:id w:val="-573587230"/>
            <w:bibliography/>
          </w:sdtPr>
          <w:sdtEndPr/>
          <w:sdtContent>
            <w:p w14:paraId="171C82E3" w14:textId="77777777" w:rsidR="0069378D" w:rsidRDefault="00CF0546" w:rsidP="0069378D">
              <w:pPr>
                <w:pStyle w:val="Bibliography"/>
                <w:ind w:left="720" w:hanging="720"/>
                <w:rPr>
                  <w:noProof/>
                  <w:sz w:val="24"/>
                  <w:szCs w:val="24"/>
                </w:rPr>
              </w:pPr>
              <w:r>
                <w:fldChar w:fldCharType="begin"/>
              </w:r>
              <w:r>
                <w:instrText xml:space="preserve"> BIBLIOGRAPHY </w:instrText>
              </w:r>
              <w:r>
                <w:fldChar w:fldCharType="separate"/>
              </w:r>
              <w:r w:rsidR="0069378D">
                <w:rPr>
                  <w:noProof/>
                </w:rPr>
                <w:t xml:space="preserve">FAA. (n.d.). </w:t>
              </w:r>
              <w:r w:rsidR="0069378D">
                <w:rPr>
                  <w:i/>
                  <w:iCs/>
                  <w:noProof/>
                </w:rPr>
                <w:t>FAA PaveAir Help.</w:t>
              </w:r>
              <w:r w:rsidR="0069378D">
                <w:rPr>
                  <w:noProof/>
                </w:rPr>
                <w:t xml:space="preserve"> Retrieved from Pavement Condition Index (PCI): https://faapaveair.faa.gov/Help/PavementConditionIndexPCI.html</w:t>
              </w:r>
            </w:p>
            <w:p w14:paraId="3BD60DBD" w14:textId="77777777" w:rsidR="0069378D" w:rsidRDefault="0069378D" w:rsidP="0069378D">
              <w:pPr>
                <w:pStyle w:val="Bibliography"/>
                <w:ind w:left="720" w:hanging="720"/>
                <w:rPr>
                  <w:noProof/>
                </w:rPr>
              </w:pPr>
              <w:r>
                <w:rPr>
                  <w:noProof/>
                </w:rPr>
                <w:t>G.J. Chong, W. P. (1989, August). Manual for Condition Rating of Flexible Pavements - Distress Manifestations. Ontario, Canada: Ministry of Transportation of Ontario.</w:t>
              </w:r>
            </w:p>
            <w:p w14:paraId="1DD9EC3F" w14:textId="77777777" w:rsidR="0069378D" w:rsidRDefault="0069378D" w:rsidP="0069378D">
              <w:pPr>
                <w:pStyle w:val="Bibliography"/>
                <w:ind w:left="720" w:hanging="720"/>
                <w:rPr>
                  <w:noProof/>
                </w:rPr>
              </w:pPr>
              <w:r>
                <w:rPr>
                  <w:noProof/>
                </w:rPr>
                <w:t xml:space="preserve">MDOT. (2017, November). </w:t>
              </w:r>
              <w:r>
                <w:rPr>
                  <w:i/>
                  <w:iCs/>
                  <w:noProof/>
                </w:rPr>
                <w:t>International Roughness Index (IRI).</w:t>
              </w:r>
              <w:r>
                <w:rPr>
                  <w:noProof/>
                </w:rPr>
                <w:t xml:space="preserve"> Retrieved from michigan.gov: https://www.michigan.gov/documents/mdot/International_Roughness_Index_605990_7.pdf</w:t>
              </w:r>
            </w:p>
            <w:p w14:paraId="4C48E588" w14:textId="77777777" w:rsidR="0069378D" w:rsidRDefault="0069378D" w:rsidP="0069378D">
              <w:pPr>
                <w:pStyle w:val="Bibliography"/>
                <w:ind w:left="720" w:hanging="720"/>
                <w:rPr>
                  <w:noProof/>
                </w:rPr>
              </w:pPr>
              <w:r>
                <w:rPr>
                  <w:noProof/>
                </w:rPr>
                <w:t xml:space="preserve">Sharad.S.Adlinge, P. (2013). Pavement Deterioration and its Causes. </w:t>
              </w:r>
              <w:r>
                <w:rPr>
                  <w:i/>
                  <w:iCs/>
                  <w:noProof/>
                </w:rPr>
                <w:t>IOSR Journal of Mechanical &amp; Civil Engineering (IOSR-JMCE)</w:t>
              </w:r>
              <w:r>
                <w:rPr>
                  <w:noProof/>
                </w:rPr>
                <w:t>, 9-15.</w:t>
              </w:r>
            </w:p>
            <w:p w14:paraId="239A7889" w14:textId="77777777" w:rsidR="0069378D" w:rsidRDefault="0069378D" w:rsidP="0069378D">
              <w:pPr>
                <w:pStyle w:val="Bibliography"/>
                <w:ind w:left="720" w:hanging="720"/>
                <w:rPr>
                  <w:noProof/>
                </w:rPr>
              </w:pPr>
              <w:r>
                <w:rPr>
                  <w:noProof/>
                </w:rPr>
                <w:t xml:space="preserve">Stephen A. Arhin, L. N. (2015). Predicting Pavement Condition Index Using International Roughness Index in a Dense Urban Area. </w:t>
              </w:r>
              <w:r>
                <w:rPr>
                  <w:i/>
                  <w:iCs/>
                  <w:noProof/>
                </w:rPr>
                <w:t>Journal of Civil Engineering Research</w:t>
              </w:r>
              <w:r>
                <w:rPr>
                  <w:noProof/>
                </w:rPr>
                <w:t>, 10-17.</w:t>
              </w:r>
            </w:p>
            <w:p w14:paraId="780EE959" w14:textId="77777777" w:rsidR="0069378D" w:rsidRDefault="0069378D" w:rsidP="0069378D">
              <w:pPr>
                <w:pStyle w:val="Bibliography"/>
                <w:ind w:left="720" w:hanging="720"/>
                <w:rPr>
                  <w:noProof/>
                </w:rPr>
              </w:pPr>
              <w:r>
                <w:rPr>
                  <w:noProof/>
                </w:rPr>
                <w:t xml:space="preserve">Veen, D. V. (2020, November). </w:t>
              </w:r>
              <w:r>
                <w:rPr>
                  <w:i/>
                  <w:iCs/>
                  <w:noProof/>
                </w:rPr>
                <w:t>10 YEAR PAVING STRATEGY AND PAVEMENT MANAGEMENT PLAN FNAL REPORT (REVISED).</w:t>
              </w:r>
              <w:r>
                <w:rPr>
                  <w:noProof/>
                </w:rPr>
                <w:t xml:space="preserve"> Retrieved from king.ca: https://www.king.ca/sites/default/files/docs/local-government/strategic-initiatives-master-plans/COW%20_7%20-%20PW-CAP-2020-25%20-%20Appendix%20A%20-%2010%20Year%20Paving%20Strategy.pdf</w:t>
              </w:r>
            </w:p>
            <w:p w14:paraId="5158A736" w14:textId="44C63A4D" w:rsidR="00CF0546" w:rsidRDefault="00CF0546" w:rsidP="0069378D">
              <w:r>
                <w:rPr>
                  <w:b/>
                  <w:bCs/>
                  <w:noProof/>
                </w:rPr>
                <w:fldChar w:fldCharType="end"/>
              </w:r>
            </w:p>
          </w:sdtContent>
        </w:sdt>
      </w:sdtContent>
    </w:sdt>
    <w:p w14:paraId="23C26B1E" w14:textId="77777777" w:rsidR="00CE7816" w:rsidRPr="00E5359D" w:rsidRDefault="00CE7816" w:rsidP="00CE7816">
      <w:pPr>
        <w:spacing w:line="360" w:lineRule="auto"/>
        <w:rPr>
          <w:rFonts w:ascii="Arial" w:hAnsi="Arial" w:cs="Arial"/>
          <w:sz w:val="24"/>
          <w:szCs w:val="24"/>
        </w:rPr>
      </w:pPr>
    </w:p>
    <w:sectPr w:rsidR="00CE7816" w:rsidRPr="00E5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11681"/>
    <w:multiLevelType w:val="hybridMultilevel"/>
    <w:tmpl w:val="481E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9D"/>
    <w:rsid w:val="000C6506"/>
    <w:rsid w:val="001B6590"/>
    <w:rsid w:val="00264D2D"/>
    <w:rsid w:val="002911F8"/>
    <w:rsid w:val="00330384"/>
    <w:rsid w:val="00555353"/>
    <w:rsid w:val="005A7DAC"/>
    <w:rsid w:val="005F39C2"/>
    <w:rsid w:val="0069378D"/>
    <w:rsid w:val="008C671F"/>
    <w:rsid w:val="00A52A9D"/>
    <w:rsid w:val="00AB00E6"/>
    <w:rsid w:val="00B814E1"/>
    <w:rsid w:val="00CE7816"/>
    <w:rsid w:val="00CF0546"/>
    <w:rsid w:val="00DE245C"/>
    <w:rsid w:val="00E5359D"/>
    <w:rsid w:val="00F7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A1C7"/>
  <w15:chartTrackingRefBased/>
  <w15:docId w15:val="{A1679343-74B6-41EC-A48B-8E0B55D3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5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F0546"/>
  </w:style>
  <w:style w:type="paragraph" w:styleId="ListParagraph">
    <w:name w:val="List Paragraph"/>
    <w:basedOn w:val="Normal"/>
    <w:uiPriority w:val="34"/>
    <w:qFormat/>
    <w:rsid w:val="0069378D"/>
    <w:pPr>
      <w:ind w:left="720"/>
      <w:contextualSpacing/>
    </w:pPr>
  </w:style>
  <w:style w:type="paragraph" w:styleId="TOCHeading">
    <w:name w:val="TOC Heading"/>
    <w:basedOn w:val="Heading1"/>
    <w:next w:val="Normal"/>
    <w:uiPriority w:val="39"/>
    <w:unhideWhenUsed/>
    <w:qFormat/>
    <w:rsid w:val="00DE245C"/>
    <w:pPr>
      <w:outlineLvl w:val="9"/>
    </w:pPr>
  </w:style>
  <w:style w:type="paragraph" w:styleId="TOC1">
    <w:name w:val="toc 1"/>
    <w:basedOn w:val="Normal"/>
    <w:next w:val="Normal"/>
    <w:autoRedefine/>
    <w:uiPriority w:val="39"/>
    <w:unhideWhenUsed/>
    <w:rsid w:val="00DE245C"/>
    <w:pPr>
      <w:spacing w:after="100"/>
    </w:pPr>
  </w:style>
  <w:style w:type="character" w:styleId="Hyperlink">
    <w:name w:val="Hyperlink"/>
    <w:basedOn w:val="DefaultParagraphFont"/>
    <w:uiPriority w:val="99"/>
    <w:unhideWhenUsed/>
    <w:rsid w:val="00DE2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4151">
      <w:bodyDiv w:val="1"/>
      <w:marLeft w:val="0"/>
      <w:marRight w:val="0"/>
      <w:marTop w:val="0"/>
      <w:marBottom w:val="0"/>
      <w:divBdr>
        <w:top w:val="none" w:sz="0" w:space="0" w:color="auto"/>
        <w:left w:val="none" w:sz="0" w:space="0" w:color="auto"/>
        <w:bottom w:val="none" w:sz="0" w:space="0" w:color="auto"/>
        <w:right w:val="none" w:sz="0" w:space="0" w:color="auto"/>
      </w:divBdr>
    </w:div>
    <w:div w:id="417365466">
      <w:bodyDiv w:val="1"/>
      <w:marLeft w:val="0"/>
      <w:marRight w:val="0"/>
      <w:marTop w:val="0"/>
      <w:marBottom w:val="0"/>
      <w:divBdr>
        <w:top w:val="none" w:sz="0" w:space="0" w:color="auto"/>
        <w:left w:val="none" w:sz="0" w:space="0" w:color="auto"/>
        <w:bottom w:val="none" w:sz="0" w:space="0" w:color="auto"/>
        <w:right w:val="none" w:sz="0" w:space="0" w:color="auto"/>
      </w:divBdr>
    </w:div>
    <w:div w:id="452361191">
      <w:bodyDiv w:val="1"/>
      <w:marLeft w:val="0"/>
      <w:marRight w:val="0"/>
      <w:marTop w:val="0"/>
      <w:marBottom w:val="0"/>
      <w:divBdr>
        <w:top w:val="none" w:sz="0" w:space="0" w:color="auto"/>
        <w:left w:val="none" w:sz="0" w:space="0" w:color="auto"/>
        <w:bottom w:val="none" w:sz="0" w:space="0" w:color="auto"/>
        <w:right w:val="none" w:sz="0" w:space="0" w:color="auto"/>
      </w:divBdr>
    </w:div>
    <w:div w:id="708916971">
      <w:bodyDiv w:val="1"/>
      <w:marLeft w:val="0"/>
      <w:marRight w:val="0"/>
      <w:marTop w:val="0"/>
      <w:marBottom w:val="0"/>
      <w:divBdr>
        <w:top w:val="none" w:sz="0" w:space="0" w:color="auto"/>
        <w:left w:val="none" w:sz="0" w:space="0" w:color="auto"/>
        <w:bottom w:val="none" w:sz="0" w:space="0" w:color="auto"/>
        <w:right w:val="none" w:sz="0" w:space="0" w:color="auto"/>
      </w:divBdr>
    </w:div>
    <w:div w:id="770013482">
      <w:bodyDiv w:val="1"/>
      <w:marLeft w:val="0"/>
      <w:marRight w:val="0"/>
      <w:marTop w:val="0"/>
      <w:marBottom w:val="0"/>
      <w:divBdr>
        <w:top w:val="none" w:sz="0" w:space="0" w:color="auto"/>
        <w:left w:val="none" w:sz="0" w:space="0" w:color="auto"/>
        <w:bottom w:val="none" w:sz="0" w:space="0" w:color="auto"/>
        <w:right w:val="none" w:sz="0" w:space="0" w:color="auto"/>
      </w:divBdr>
    </w:div>
    <w:div w:id="783495803">
      <w:bodyDiv w:val="1"/>
      <w:marLeft w:val="0"/>
      <w:marRight w:val="0"/>
      <w:marTop w:val="0"/>
      <w:marBottom w:val="0"/>
      <w:divBdr>
        <w:top w:val="none" w:sz="0" w:space="0" w:color="auto"/>
        <w:left w:val="none" w:sz="0" w:space="0" w:color="auto"/>
        <w:bottom w:val="none" w:sz="0" w:space="0" w:color="auto"/>
        <w:right w:val="none" w:sz="0" w:space="0" w:color="auto"/>
      </w:divBdr>
    </w:div>
    <w:div w:id="1082527373">
      <w:bodyDiv w:val="1"/>
      <w:marLeft w:val="0"/>
      <w:marRight w:val="0"/>
      <w:marTop w:val="0"/>
      <w:marBottom w:val="0"/>
      <w:divBdr>
        <w:top w:val="none" w:sz="0" w:space="0" w:color="auto"/>
        <w:left w:val="none" w:sz="0" w:space="0" w:color="auto"/>
        <w:bottom w:val="none" w:sz="0" w:space="0" w:color="auto"/>
        <w:right w:val="none" w:sz="0" w:space="0" w:color="auto"/>
      </w:divBdr>
    </w:div>
    <w:div w:id="1160191975">
      <w:bodyDiv w:val="1"/>
      <w:marLeft w:val="0"/>
      <w:marRight w:val="0"/>
      <w:marTop w:val="0"/>
      <w:marBottom w:val="0"/>
      <w:divBdr>
        <w:top w:val="none" w:sz="0" w:space="0" w:color="auto"/>
        <w:left w:val="none" w:sz="0" w:space="0" w:color="auto"/>
        <w:bottom w:val="none" w:sz="0" w:space="0" w:color="auto"/>
        <w:right w:val="none" w:sz="0" w:space="0" w:color="auto"/>
      </w:divBdr>
    </w:div>
    <w:div w:id="1181627419">
      <w:bodyDiv w:val="1"/>
      <w:marLeft w:val="0"/>
      <w:marRight w:val="0"/>
      <w:marTop w:val="0"/>
      <w:marBottom w:val="0"/>
      <w:divBdr>
        <w:top w:val="none" w:sz="0" w:space="0" w:color="auto"/>
        <w:left w:val="none" w:sz="0" w:space="0" w:color="auto"/>
        <w:bottom w:val="none" w:sz="0" w:space="0" w:color="auto"/>
        <w:right w:val="none" w:sz="0" w:space="0" w:color="auto"/>
      </w:divBdr>
    </w:div>
    <w:div w:id="1360230915">
      <w:bodyDiv w:val="1"/>
      <w:marLeft w:val="0"/>
      <w:marRight w:val="0"/>
      <w:marTop w:val="0"/>
      <w:marBottom w:val="0"/>
      <w:divBdr>
        <w:top w:val="none" w:sz="0" w:space="0" w:color="auto"/>
        <w:left w:val="none" w:sz="0" w:space="0" w:color="auto"/>
        <w:bottom w:val="none" w:sz="0" w:space="0" w:color="auto"/>
        <w:right w:val="none" w:sz="0" w:space="0" w:color="auto"/>
      </w:divBdr>
    </w:div>
    <w:div w:id="1485656634">
      <w:bodyDiv w:val="1"/>
      <w:marLeft w:val="0"/>
      <w:marRight w:val="0"/>
      <w:marTop w:val="0"/>
      <w:marBottom w:val="0"/>
      <w:divBdr>
        <w:top w:val="none" w:sz="0" w:space="0" w:color="auto"/>
        <w:left w:val="none" w:sz="0" w:space="0" w:color="auto"/>
        <w:bottom w:val="none" w:sz="0" w:space="0" w:color="auto"/>
        <w:right w:val="none" w:sz="0" w:space="0" w:color="auto"/>
      </w:divBdr>
    </w:div>
    <w:div w:id="1494292956">
      <w:bodyDiv w:val="1"/>
      <w:marLeft w:val="0"/>
      <w:marRight w:val="0"/>
      <w:marTop w:val="0"/>
      <w:marBottom w:val="0"/>
      <w:divBdr>
        <w:top w:val="none" w:sz="0" w:space="0" w:color="auto"/>
        <w:left w:val="none" w:sz="0" w:space="0" w:color="auto"/>
        <w:bottom w:val="none" w:sz="0" w:space="0" w:color="auto"/>
        <w:right w:val="none" w:sz="0" w:space="0" w:color="auto"/>
      </w:divBdr>
    </w:div>
    <w:div w:id="1589580410">
      <w:bodyDiv w:val="1"/>
      <w:marLeft w:val="0"/>
      <w:marRight w:val="0"/>
      <w:marTop w:val="0"/>
      <w:marBottom w:val="0"/>
      <w:divBdr>
        <w:top w:val="none" w:sz="0" w:space="0" w:color="auto"/>
        <w:left w:val="none" w:sz="0" w:space="0" w:color="auto"/>
        <w:bottom w:val="none" w:sz="0" w:space="0" w:color="auto"/>
        <w:right w:val="none" w:sz="0" w:space="0" w:color="auto"/>
      </w:divBdr>
    </w:div>
    <w:div w:id="1621689746">
      <w:bodyDiv w:val="1"/>
      <w:marLeft w:val="0"/>
      <w:marRight w:val="0"/>
      <w:marTop w:val="0"/>
      <w:marBottom w:val="0"/>
      <w:divBdr>
        <w:top w:val="none" w:sz="0" w:space="0" w:color="auto"/>
        <w:left w:val="none" w:sz="0" w:space="0" w:color="auto"/>
        <w:bottom w:val="none" w:sz="0" w:space="0" w:color="auto"/>
        <w:right w:val="none" w:sz="0" w:space="0" w:color="auto"/>
      </w:divBdr>
    </w:div>
    <w:div w:id="1624924612">
      <w:bodyDiv w:val="1"/>
      <w:marLeft w:val="0"/>
      <w:marRight w:val="0"/>
      <w:marTop w:val="0"/>
      <w:marBottom w:val="0"/>
      <w:divBdr>
        <w:top w:val="none" w:sz="0" w:space="0" w:color="auto"/>
        <w:left w:val="none" w:sz="0" w:space="0" w:color="auto"/>
        <w:bottom w:val="none" w:sz="0" w:space="0" w:color="auto"/>
        <w:right w:val="none" w:sz="0" w:space="0" w:color="auto"/>
      </w:divBdr>
    </w:div>
    <w:div w:id="20017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GJC89</b:Tag>
    <b:SourceType>Misc</b:SourceType>
    <b:Guid>{9675293E-C973-4DF9-A4AC-56D3384E1881}</b:Guid>
    <b:Author>
      <b:Author>
        <b:NameList>
          <b:Person>
            <b:Last>G.J. Chong</b:Last>
            <b:First>W.A.</b:First>
            <b:Middle>Phang, G.A. Wrong</b:Middle>
          </b:Person>
        </b:NameList>
      </b:Author>
    </b:Author>
    <b:Title>Manual for Condition Rating of Flexible Pavements - Distress Manifestations</b:Title>
    <b:Year>1989</b:Year>
    <b:Month>August</b:Month>
    <b:Publisher>Ministry of Transportation of Ontario</b:Publisher>
    <b:StateProvince>Ontario</b:StateProvince>
    <b:CountryRegion>Canada</b:CountryRegion>
    <b:RefOrder>1</b:RefOrder>
  </b:Source>
  <b:Source>
    <b:Tag>Ste15</b:Tag>
    <b:SourceType>JournalArticle</b:SourceType>
    <b:Guid>{EEEA9594-C3BB-4389-AF28-10268407C2F9}</b:Guid>
    <b:Title>Predicting Pavement Condition Index Using International Roughness Index in a Dense Urban Area</b:Title>
    <b:Year>2015</b:Year>
    <b:Author>
      <b:Author>
        <b:NameList>
          <b:Person>
            <b:Last>Stephen A. Arhin</b:Last>
            <b:First>Lakeasha</b:First>
            <b:Middle>N. Williams, Asteway Ribbiso, Melissa F. Anderson</b:Middle>
          </b:Person>
        </b:NameList>
      </b:Author>
    </b:Author>
    <b:JournalName>Journal of Civil Engineering Research</b:JournalName>
    <b:Pages>10-17</b:Pages>
    <b:RefOrder>2</b:RefOrder>
  </b:Source>
  <b:Source>
    <b:Tag>Sha13</b:Tag>
    <b:SourceType>JournalArticle</b:SourceType>
    <b:Guid>{CFD4888D-7A3D-44EC-A109-203A5000191E}</b:Guid>
    <b:Author>
      <b:Author>
        <b:NameList>
          <b:Person>
            <b:Last>Sharad.S.Adlinge</b:Last>
            <b:First>Prof.A.K.Gupta</b:First>
          </b:Person>
        </b:NameList>
      </b:Author>
    </b:Author>
    <b:Title>Pavement Deterioration and its Causes</b:Title>
    <b:JournalName>IOSR Journal of Mechanical &amp; Civil Engineering (IOSR-JMCE)</b:JournalName>
    <b:Year>2013</b:Year>
    <b:Pages>9-15</b:Pages>
    <b:RefOrder>3</b:RefOrder>
  </b:Source>
  <b:Source>
    <b:Tag>MDO17</b:Tag>
    <b:SourceType>DocumentFromInternetSite</b:SourceType>
    <b:Guid>{A3A09B87-AD15-4306-AE09-679FFDBFB801}</b:Guid>
    <b:Author>
      <b:Author>
        <b:Corporate>MDOT</b:Corporate>
      </b:Author>
    </b:Author>
    <b:Title>International Roughness Index (IRI)</b:Title>
    <b:JournalName>Asset Management Background</b:JournalName>
    <b:Year>2017</b:Year>
    <b:InternetSiteTitle>michigan.gov</b:InternetSiteTitle>
    <b:Month>November</b:Month>
    <b:URL>https://www.michigan.gov/documents/mdot/International_Roughness_Index_605990_7.pdf</b:URL>
    <b:RefOrder>4</b:RefOrder>
  </b:Source>
  <b:Source>
    <b:Tag>FAAnd</b:Tag>
    <b:SourceType>DocumentFromInternetSite</b:SourceType>
    <b:Guid>{692719B9-AA62-4428-B81C-8B392C041A60}</b:Guid>
    <b:Author>
      <b:Author>
        <b:Corporate>FAA</b:Corporate>
      </b:Author>
    </b:Author>
    <b:Title>FAA PaveAir Help</b:Title>
    <b:InternetSiteTitle>Pavement Condition Index (PCI)</b:InternetSiteTitle>
    <b:Year>n.d.</b:Year>
    <b:URL>https://faapaveair.faa.gov/Help/PavementConditionIndexPCI.html</b:URL>
    <b:RefOrder>5</b:RefOrder>
  </b:Source>
  <b:Source>
    <b:Tag>Dav20</b:Tag>
    <b:SourceType>DocumentFromInternetSite</b:SourceType>
    <b:Guid>{1CA01A10-FAD5-4A7F-9FA5-D93D58929A3E}</b:Guid>
    <b:Author>
      <b:Author>
        <b:NameList>
          <b:Person>
            <b:Last>Veen</b:Last>
            <b:First>David</b:First>
            <b:Middle>Van</b:Middle>
          </b:Person>
        </b:NameList>
      </b:Author>
    </b:Author>
    <b:Title>10 YEAR PAVING STRATEGY AND PAVEMENT MANAGEMENT PLAN FNAL REPORT (REVISED)</b:Title>
    <b:InternetSiteTitle>king.ca</b:InternetSiteTitle>
    <b:Year>2020</b:Year>
    <b:Month>November</b:Month>
    <b:URL>https://www.king.ca/sites/default/files/docs/local-government/strategic-initiatives-master-plans/COW%20_7%20-%20PW-CAP-2020-25%20-%20Appendix%20A%20-%2010%20Year%20Paving%20Strategy.pdf</b:URL>
    <b:RefOrder>6</b:RefOrder>
  </b:Source>
</b:Sources>
</file>

<file path=customXml/itemProps1.xml><?xml version="1.0" encoding="utf-8"?>
<ds:datastoreItem xmlns:ds="http://schemas.openxmlformats.org/officeDocument/2006/customXml" ds:itemID="{214E64D6-E50E-4386-B7D3-522D5626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Dao</dc:creator>
  <cp:keywords/>
  <dc:description/>
  <cp:lastModifiedBy>Andy Dao</cp:lastModifiedBy>
  <cp:revision>9</cp:revision>
  <dcterms:created xsi:type="dcterms:W3CDTF">2021-08-11T08:35:00Z</dcterms:created>
  <dcterms:modified xsi:type="dcterms:W3CDTF">2021-08-12T20:33:00Z</dcterms:modified>
</cp:coreProperties>
</file>