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764A904">
      <w:pPr>
        <w:spacing w:before="400" w:after="200"/>
        <w:jc w:val="center"/>
      </w:pPr>
      <w:r>
        <w:rPr>
          <w:rFonts w:ascii="Arial" w:hAnsi="Arial" w:eastAsia="ＭＳ 明朝" w:cs="Arial" w:eastAsiaTheme="minorEastAsia" w:csTheme="minorBidi"/>
          <w:b/>
          <w:bCs/>
          <w:color w:val="0A192F"/>
          <w:sz w:val="36"/>
          <w:szCs w:val="22"/>
        </w:rPr>
        <w:t>BÁO CÁO TỐT NGHIỆP CUỐI KHÓA</w:t>
      </w:r>
      <w:r>
        <w:br w:type="textWrapping"/>
      </w:r>
      <w:r>
        <w:rPr>
          <w:rFonts w:ascii="Arial" w:hAnsi="Arial" w:eastAsia="ＭＳ 明朝" w:cs="Arial" w:eastAsiaTheme="minorEastAsia" w:csTheme="minorBidi"/>
          <w:b/>
          <w:bCs/>
          <w:color w:val="0A192F"/>
          <w:sz w:val="36"/>
          <w:szCs w:val="22"/>
        </w:rPr>
        <w:t>PHÂN TÍCH HIỆU QUẢ KINH DOANH THƯƠNG MẠI ĐIỆN TỬ VÀ VẬN HÀNH CHUỖI CUNG ỨNG CHẶNG CUỐI</w:t>
      </w:r>
    </w:p>
    <w:p w14:paraId="166209A3">
      <w:pPr>
        <w:spacing w:after="400"/>
        <w:jc w:val="center"/>
      </w:pPr>
      <w:r>
        <w:rPr>
          <w:rFonts w:ascii="Arial" w:hAnsi="Arial" w:eastAsia="ＭＳ 明朝" w:cs="Arial" w:eastAsiaTheme="minorEastAsia" w:csTheme="minorBidi"/>
          <w:i/>
          <w:iCs/>
          <w:color w:val="64748B"/>
          <w:sz w:val="22"/>
          <w:szCs w:val="22"/>
        </w:rPr>
        <w:t>Quy trình Thực thi Toàn diện: EDA Data, Model Star Schema, Phân khúc RFM Khách hàng, Thiết kế Dashboard Power BI Multi-Page &amp; DAX Formula Library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680"/>
        <w:gridCol w:w="4680"/>
      </w:tblGrid>
      <w:tr>
        <w:tc>
          <w:tcPr>
            <w:tcW w:w="3168" w:type="dxa"/>
            <w:shd w:val="clear" w:fill="0A19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455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Đề tài nghiên cứu</w:t>
            </w:r>
          </w:p>
        </w:tc>
        <w:tc>
          <w:tcPr>
            <w:tcW w:w="6192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367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0A192F"/>
                <w:sz w:val="19"/>
                <w:szCs w:val="22"/>
              </w:rPr>
              <w:t>Phân tích Kinh doanh Thương mại Điện tử và Hiệu quả Chuỗi Cung ứng</w:t>
            </w:r>
          </w:p>
        </w:tc>
      </w:tr>
      <w:tr>
        <w:tc>
          <w:tcPr>
            <w:tcW w:w="3168" w:type="dxa"/>
            <w:shd w:val="clear" w:fill="0A19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7E6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Học viên thực hiện</w:t>
            </w:r>
          </w:p>
        </w:tc>
        <w:tc>
          <w:tcPr>
            <w:tcW w:w="6192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9BB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0A192F"/>
                <w:sz w:val="19"/>
                <w:szCs w:val="22"/>
              </w:rPr>
              <w:t>Antigravity Data Analyst</w:t>
            </w:r>
          </w:p>
        </w:tc>
      </w:tr>
      <w:tr>
        <w:tc>
          <w:tcPr>
            <w:tcW w:w="3168" w:type="dxa"/>
            <w:shd w:val="clear" w:fill="0A19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EF2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Mã số học viên</w:t>
            </w:r>
          </w:p>
        </w:tc>
        <w:tc>
          <w:tcPr>
            <w:tcW w:w="6192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EEB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0A192F"/>
                <w:sz w:val="19"/>
                <w:szCs w:val="22"/>
              </w:rPr>
              <w:t>DA-FINAL-2026</w:t>
            </w:r>
          </w:p>
        </w:tc>
      </w:tr>
      <w:tr>
        <w:tc>
          <w:tcPr>
            <w:tcW w:w="3168" w:type="dxa"/>
            <w:shd w:val="clear" w:fill="0A19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956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Chuyên môn đào tạo</w:t>
            </w:r>
          </w:p>
        </w:tc>
        <w:tc>
          <w:tcPr>
            <w:tcW w:w="6192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CC3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0A192F"/>
                <w:sz w:val="19"/>
                <w:szCs w:val="22"/>
              </w:rPr>
              <w:t>Business Intelligence &amp; Data Analytics with Power BI</w:t>
            </w:r>
          </w:p>
        </w:tc>
      </w:tr>
      <w:tr>
        <w:tc>
          <w:tcPr>
            <w:tcW w:w="3168" w:type="dxa"/>
            <w:shd w:val="clear" w:fill="0A19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23B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Thời gian thực hiện</w:t>
            </w:r>
          </w:p>
        </w:tc>
        <w:tc>
          <w:tcPr>
            <w:tcW w:w="6192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471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0A192F"/>
                <w:sz w:val="19"/>
                <w:szCs w:val="22"/>
              </w:rPr>
              <w:t>Tháng 10 Năm 2026</w:t>
            </w:r>
          </w:p>
        </w:tc>
      </w:tr>
    </w:tbl>
    <w:p w14:paraId="67C49D53">
      <w:pPr>
        <w:pageBreakBefore/>
        <w:spacing w:after="200" w:line="276" w:lineRule="auto"/>
      </w:pPr>
      <w:r>
        <w:lastRenderedPageBreak/>
      </w:r>
    </w:p>
    <w:p w14:paraId="48D682E5">
      <w:pPr>
        <w:pStyle w:val="Heading1"/>
        <w:spacing w:before="280" w:after="120"/>
      </w:pPr>
      <w:r>
        <w:rPr>
          <w:rFonts w:ascii="Arial" w:hAnsi="Arial" w:eastAsia="ＭＳ ゴシック" w:cs="Arial" w:eastAsiaTheme="majorEastAsia" w:csTheme="majorBidi"/>
          <w:b/>
          <w:bCs/>
          <w:color w:val="0A192F"/>
          <w:sz w:val="28"/>
          <w:szCs w:val="28"/>
        </w:rPr>
        <w:t>TÓM TẮT ĐIỀU HÀNH (EXECUTIVE SUMMARY)</w:t>
      </w:r>
    </w:p>
    <w:p w14:paraId="1AE0886B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Dự án phân tích dữ liệu kinh doanh Thương mại Điện tử và Chuỗi cung ứng được thực hiện trên tập dữ liệu gồm 89,316 đơn hàng với tổng doanh thu đạt $30,447,872.89 (hơn 30.45 triệu USD) và giá trị đơn hàng trung bình (AOV) đạt $340.90. Nghiên cứu xác lập bức tranh tổng thể đa chiều về sức khỏe tài chính và vận hành logistics:</w:t>
      </w:r>
      <w:r>
        <w:br w:type="textWrapping"/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1. Doanh thu tăng trưởng mạnh mẽ nhưng phụ thuộc nặng nề vào ngành hàng Đồ chơi (Toys chiếm 75.52% tổng doanh thu).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2. Chi phí logistics rò rỉ nghiêm trọng: Tổng phí vận chuyển đạt $3,955,199.17, chiếm tới 12.99% tổng doanh thu. Một số ngành hàng then chốt như Phụ kiện máy tính (17.12%) và Chăm sóc sức khỏe (16.89%) đang chịu mức cước vượt xa trần an toàn (8%).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3. Thời gian giao hàng chặng cuối kéo dài: Lead Time trung bình lên đến 12.43 ngày; tỷ lệ giao đúng hạn trong chuẩn giao nhanh (&lt;3 ngày) chỉ đạt 5.01%. Bang Bahia (BA) trễ kỷ lục với 19.33 ngày.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4. Tỷ lệ khách hàng rời bỏ (Lost / At-Risk) lên đến 82.09% (73,317 khách hàng) do khoảng cách recency &gt; 90 ngày. Tuy nhiên, doanh nghiệp sở hữu 5,281 khách hàng VIP có giá trị chi tiêu trên $1,000 cần được ưu tiên chăm sóc giữ chân.</w:t>
      </w:r>
    </w:p>
    <w:p w14:paraId="1F15F39A">
      <w:pPr>
        <w:pStyle w:val="Heading1"/>
        <w:spacing w:before="280" w:after="120"/>
      </w:pPr>
      <w:r>
        <w:rPr>
          <w:rFonts w:ascii="Arial" w:hAnsi="Arial" w:eastAsia="ＭＳ ゴシック" w:cs="Arial" w:eastAsiaTheme="majorEastAsia" w:csTheme="majorBidi"/>
          <w:b/>
          <w:bCs/>
          <w:color w:val="0A192F"/>
          <w:sz w:val="28"/>
          <w:szCs w:val="28"/>
        </w:rPr>
        <w:t>PHẦN 1: KHUNG MỤC TIÊU QUẢN TRỊ &amp; BỐC TÁCH 3 TRỤ CỘT</w:t>
      </w:r>
    </w:p>
    <w:p w14:paraId="06C9D406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Câu hỏi Quản trị Cốt lõi: 'Doanh nghiệp E-commerce làm sao để tối ưu hóa Doanh thu ròng, nâng cao Tỷ lệ Giữ chân Khách hàng và cắt giảm Chi phí Vận hành Logistics chặng cuối?'</w:t>
      </w:r>
      <w:r>
        <w:br w:type="textWrapping"/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fill="0A192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3101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Trụ cột Phân tích</w:t>
            </w:r>
          </w:p>
        </w:tc>
        <w:tc>
          <w:tcPr>
            <w:tcW w:w="2340" w:type="dxa"/>
            <w:shd w:val="clear" w:fill="0A192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0600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Mục tiêu Chi tiết</w:t>
            </w:r>
          </w:p>
        </w:tc>
        <w:tc>
          <w:tcPr>
            <w:tcW w:w="2340" w:type="dxa"/>
            <w:shd w:val="clear" w:fill="0A192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6C08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KPIs Trọng yếu</w:t>
            </w:r>
          </w:p>
        </w:tc>
        <w:tc>
          <w:tcPr>
            <w:tcW w:w="2340" w:type="dxa"/>
            <w:shd w:val="clear" w:fill="0A192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B32A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9"/>
                <w:szCs w:val="22"/>
              </w:rPr>
              <w:t>Giá trị Thực tế (Dataset)</w:t>
            </w:r>
          </w:p>
        </w:tc>
      </w:tr>
      <w:tr>
        <w:tc>
          <w:tcPr>
            <w:tcW w:w="2340" w:type="dxa"/>
            <w:shd w:val="clear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A93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1. Sales &amp; Revenue</w:t>
            </w:r>
          </w:p>
        </w:tc>
        <w:tc>
          <w:tcPr>
            <w:tcW w:w="2340" w:type="dxa"/>
            <w:shd w:val="clear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3D5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Đo lường xu hướng doanh thu, AOV, phân loại sản phẩm sinh lời</w:t>
            </w:r>
          </w:p>
        </w:tc>
        <w:tc>
          <w:tcPr>
            <w:tcW w:w="2340" w:type="dxa"/>
            <w:shd w:val="clear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78B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Total Revenue, Total Orders, AOV</w:t>
            </w:r>
          </w:p>
        </w:tc>
        <w:tc>
          <w:tcPr>
            <w:tcW w:w="2340" w:type="dxa"/>
            <w:shd w:val="clear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DF0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$30.45M Rev, 89,316 Đơn, $340.90 AOV</w:t>
            </w:r>
          </w:p>
        </w:tc>
      </w:tr>
      <w:tr>
        <w:tc>
          <w:tcPr>
            <w:tcW w:w="2340" w:type="dxa"/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F0F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2. Customer &amp; Retention</w:t>
            </w:r>
          </w:p>
        </w:tc>
        <w:tc>
          <w:tcPr>
            <w:tcW w:w="2340" w:type="dxa"/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975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Đánh giá hành vi mua sắm, phân loại nhóm VIP, Loyal, Potential, Lost</w:t>
            </w:r>
          </w:p>
        </w:tc>
        <w:tc>
          <w:tcPr>
            <w:tcW w:w="2340" w:type="dxa"/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239A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Total Customers, VIP Count, Lost Count</w:t>
            </w:r>
          </w:p>
        </w:tc>
        <w:tc>
          <w:tcPr>
            <w:tcW w:w="2340" w:type="dxa"/>
            <w:shd w:val="clear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85C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89,316 Khách, 5,281 VIP Enhanced, 73,317 Lost</w:t>
            </w:r>
          </w:p>
        </w:tc>
      </w:tr>
      <w:tr>
        <w:tc>
          <w:tcPr>
            <w:tcW w:w="2340" w:type="dxa"/>
            <w:shd w:val="clear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381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3. Supply Chain &amp; Logistics</w:t>
            </w:r>
          </w:p>
        </w:tc>
        <w:tc>
          <w:tcPr>
            <w:tcW w:w="2340" w:type="dxa"/>
            <w:shd w:val="clear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5EA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Kiểm soát Lead Time, tỷ lệ giao đúng hạn, hủy đơn và rò rỉ cước Shipping</w:t>
            </w:r>
          </w:p>
        </w:tc>
        <w:tc>
          <w:tcPr>
            <w:tcW w:w="2340" w:type="dxa"/>
            <w:shd w:val="clear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719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Avg Lead Time, On-Time %, Shipping Ratio %</w:t>
            </w:r>
          </w:p>
        </w:tc>
        <w:tc>
          <w:tcPr>
            <w:tcW w:w="2340" w:type="dxa"/>
            <w:shd w:val="clear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450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8"/>
                <w:szCs w:val="22"/>
              </w:rPr>
              <w:t>12.43 Ngày Lead Time, 5.01% On-Time, 12.99% Ship Ratio</w:t>
            </w:r>
          </w:p>
        </w:tc>
      </w:tr>
    </w:tbl>
    <w:p w14:paraId="26735C0C">
      <w:pPr>
        <w:pStyle w:val="Heading1"/>
        <w:spacing w:before="280" w:after="120"/>
      </w:pPr>
      <w:r>
        <w:rPr>
          <w:rFonts w:ascii="Arial" w:hAnsi="Arial" w:eastAsia="ＭＳ ゴシック" w:cs="Arial" w:eastAsiaTheme="majorEastAsia" w:csTheme="majorBidi"/>
          <w:b/>
          <w:bCs/>
          <w:color w:val="0A192F"/>
          <w:sz w:val="28"/>
          <w:szCs w:val="28"/>
        </w:rPr>
        <w:t>PHẦN 2: LÀM SẠCH DỮ LIỆU &amp; KIẾN TRÚC MÔ HÌNH STAR SCHEMA</w:t>
      </w:r>
    </w:p>
    <w:p w14:paraId="1635C161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Nhóm phân tích đã thực hiện toàn diện quy trình Data Cleansing &amp; Data Binning: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Loại bỏ 61,865 bản ghi trùng lặp trong df_Products, chuẩn hóa danh mục còn đúng 27,451 sản phẩm.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Xử lý khuyết thiếu cột Ship Date bằng cách giữ nguyên Null cho 1,889 đơn hủy/chưa giao.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Phân lớp thời gian giao hàng (Delivery Tier), Giá trị giỏ hàng (Basket Value Tier), và Tỷ lệ cước phí (Logistics Cost Tier).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Thiết kế mô hình Star Schema chuẩn Power BI gồm 1 bảng Fact (Fact_Orders) và 4 bảng Chiều (Dim_Customers, Dim_Products, Dim_Date, Dim_Payments).</w:t>
      </w:r>
    </w:p>
    <w:p w14:paraId="35EF7C0A">
      <w:pPr>
        <w:pStyle w:val="Heading1"/>
        <w:spacing w:before="280" w:after="120"/>
      </w:pPr>
      <w:r>
        <w:rPr>
          <w:rFonts w:ascii="Arial" w:hAnsi="Arial" w:eastAsia="ＭＳ ゴシック" w:cs="Arial" w:eastAsiaTheme="majorEastAsia" w:csTheme="majorBidi"/>
          <w:b/>
          <w:bCs/>
          <w:color w:val="0A192F"/>
          <w:sz w:val="28"/>
          <w:szCs w:val="28"/>
        </w:rPr>
        <w:t>PHẦN 3: PHÂN TÍCH DOANH THU &amp; HIỆU QUẢ SẢN PHẨM (TRỤ CỘT 1)</w:t>
      </w:r>
    </w:p>
    <w:p w14:paraId="50B933E6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Bảng phân tích Top 10 Danh mục sản phẩm đóng góp doanh thu lớn nhất: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5E9A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Danh mục Sản phẩm</w:t>
            </w:r>
          </w:p>
        </w:tc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2957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Số Đơn</w:t>
            </w:r>
          </w:p>
        </w:tc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A684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Doanh thu ($)</w:t>
            </w:r>
          </w:p>
        </w:tc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CE47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Tỷ trọng (%)</w:t>
            </w:r>
          </w:p>
        </w:tc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8DF6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AOV ($)</w:t>
            </w:r>
          </w:p>
        </w:tc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D07D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Tỷ lệ Ship (%)</w:t>
            </w:r>
          </w:p>
        </w:tc>
      </w:tr>
      <w:tr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FD8F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toys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9C11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67,027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2F7E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$22,994,700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05B1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75.52%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AD80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$343.07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3AA7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12.99%</w:t>
            </w:r>
          </w:p>
        </w:tc>
      </w:tr>
      <w:tr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3D40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furniture_decor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6AE7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1,760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C6EF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$753,073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1757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2.47%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CE07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$427.88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9CF6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10.49%</w:t>
            </w:r>
          </w:p>
        </w:tc>
      </w:tr>
      <w:tr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818A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garden_tools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2FE9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807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8E05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$746,591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6E87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2.45%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0DD4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$925.14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6FAD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4.52%</w:t>
            </w:r>
          </w:p>
        </w:tc>
      </w:tr>
      <w:tr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F4D1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bed_bath_table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9154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2,146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A466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$604,535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4293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1.99%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9283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$281.70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E00D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EF4444"/>
                <w:sz w:val="17"/>
                <w:szCs w:val="22"/>
              </w:rPr>
              <w:t>15.74%</w:t>
            </w:r>
          </w:p>
        </w:tc>
      </w:tr>
      <w:tr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92BA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health_beauty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77C1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2,351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C9E7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$596,724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C4A6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1.96%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C944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$253.82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37C0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EF4444"/>
                <w:sz w:val="17"/>
                <w:szCs w:val="22"/>
              </w:rPr>
              <w:t>16.89%</w:t>
            </w:r>
          </w:p>
        </w:tc>
      </w:tr>
      <w:tr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7040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watches_gifts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146E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1,196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2619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$584,225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FCF2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1.92%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4BA8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$488.48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63F2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8.91%</w:t>
            </w:r>
          </w:p>
        </w:tc>
      </w:tr>
      <w:tr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D5A3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sports_leisure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21DE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1,837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188B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$547,922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B678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1.80%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8C14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$298.27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67A4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14.28%</w:t>
            </w:r>
          </w:p>
        </w:tc>
      </w:tr>
      <w:tr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B5F4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telephony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D99B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912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6A22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$495,000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8547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1.63%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920D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$542.76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F736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7.08%</w:t>
            </w:r>
          </w:p>
        </w:tc>
      </w:tr>
      <w:tr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1415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computers_accessories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CB7E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1,715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09B8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$430,533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D921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1.41%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BB2B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$251.04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31B5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EF4444"/>
                <w:sz w:val="17"/>
                <w:szCs w:val="22"/>
              </w:rPr>
              <w:t>17.12%</w:t>
            </w:r>
          </w:p>
        </w:tc>
      </w:tr>
      <w:tr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0367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housewares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B5F3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1,340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7A86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$415,090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2531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1.36%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125F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$309.77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CC19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14.22%</w:t>
            </w:r>
          </w:p>
        </w:tc>
      </w:tr>
    </w:tbl>
    <w:p w14:paraId="418636BA">
      <w:pPr>
        <w:pStyle w:val="Heading1"/>
        <w:spacing w:before="280" w:after="120"/>
      </w:pPr>
      <w:r>
        <w:rPr>
          <w:rFonts w:ascii="Arial" w:hAnsi="Arial" w:eastAsia="ＭＳ ゴシック" w:cs="Arial" w:eastAsiaTheme="majorEastAsia" w:csTheme="majorBidi"/>
          <w:b/>
          <w:bCs/>
          <w:color w:val="0A192F"/>
          <w:sz w:val="28"/>
          <w:szCs w:val="28"/>
        </w:rPr>
        <w:t>PHẦN 4: PHÂN KHÚC KHÁCH HÀNG &amp; RỦI RO RỜI BỎ (TRỤ CỘT 2)</w:t>
      </w:r>
    </w:p>
    <w:p w14:paraId="6A8020FF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Kết quả phân khúc khách hàng theo 2 phương pháp: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1. Theo Barem Đề bài Chuẩn (Standard DAX): 73,317 khách hàng (82.09%) thuộc nhóm '4. Lost / At-Risk' do Recency &gt; 90 ngày; 15,999 khách hàng (17.91%) thuộc nhóm '3. Potential Customer'.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2. Theo Giá trị Chi tiêu Tích lũy (Enhanced Monetary Model): Bóc tách thành công 5,281 khách hàng VIP (chi tiêu &gt; $1,000) đóng góp hơn 8.12 triệu USD doanh thu và 14,341 khách hàng Loyal ($300 - $1,000) đóng góp 7.45 triệu USD. Đây là cơ sở cốt lõi để phòng kinh doanh phân bổ ngân sách chăm sóc khách hàng trọng điểm.</w:t>
      </w:r>
    </w:p>
    <w:p w14:paraId="280F7105">
      <w:pPr>
        <w:pStyle w:val="Heading1"/>
        <w:spacing w:before="280" w:after="120"/>
      </w:pPr>
      <w:r>
        <w:rPr>
          <w:rFonts w:ascii="Arial" w:hAnsi="Arial" w:eastAsia="ＭＳ ゴシック" w:cs="Arial" w:eastAsiaTheme="majorEastAsia" w:csTheme="majorBidi"/>
          <w:b/>
          <w:bCs/>
          <w:color w:val="0A192F"/>
          <w:sz w:val="28"/>
          <w:szCs w:val="28"/>
        </w:rPr>
        <w:t>PHẦN 5: CHUỖI CUNG ỨNG &amp; ĐIỂM NGHẼN LOGISTICS (TRỤ CỘT 3)</w:t>
      </w:r>
    </w:p>
    <w:p w14:paraId="2ABD7DD0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Bảng phân tích hiệu quả giao hàng chặng cuối theo 10 Bang có quy mô lớn nhất: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35CF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Bang (State)</w:t>
            </w:r>
          </w:p>
        </w:tc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8070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Số Đơn</w:t>
            </w:r>
          </w:p>
        </w:tc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8EB4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Doanh thu ($)</w:t>
            </w:r>
          </w:p>
        </w:tc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0154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Tỷ trọng (%)</w:t>
            </w:r>
          </w:p>
        </w:tc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ACFD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Lead Time TB (Ngày)</w:t>
            </w:r>
          </w:p>
        </w:tc>
        <w:tc>
          <w:tcPr>
            <w:tcW w:w="1560" w:type="dxa"/>
            <w:shd w:val="clear" w:fill="0A192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9314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FFFFFF"/>
                <w:sz w:val="18"/>
                <w:szCs w:val="22"/>
              </w:rPr>
              <w:t>Tỷ lệ Đúng hạn</w:t>
            </w:r>
          </w:p>
        </w:tc>
      </w:tr>
      <w:tr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BC89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SP (São Paulo)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9D84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37,879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4735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$12,937,889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BAA1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42.49%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CE00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8.70 ngày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AF15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10.33%</w:t>
            </w:r>
          </w:p>
        </w:tc>
      </w:tr>
      <w:tr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12397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RJ (Rio de Janeiro)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1F75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11,578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B4AE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$3,851,780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E91C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12.65%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ECEA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EF4444"/>
                <w:sz w:val="17"/>
                <w:szCs w:val="22"/>
              </w:rPr>
              <w:t>15.21 ngày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538C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1.80%</w:t>
            </w:r>
          </w:p>
        </w:tc>
      </w:tr>
      <w:tr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E3E2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MG (Minas Gerais)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962C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10,334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F157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$3,502,550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789D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11.50%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10D0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11.97 ngày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FF9D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1.45%</w:t>
            </w:r>
          </w:p>
        </w:tc>
      </w:tr>
      <w:tr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971D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RS (Rio Grande do Sul)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8C2B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4,921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AC66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$1,661,277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66A4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5.46%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4581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EF4444"/>
                <w:sz w:val="17"/>
                <w:szCs w:val="22"/>
              </w:rPr>
              <w:t>15.04 ngày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C058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0.62%</w:t>
            </w:r>
          </w:p>
        </w:tc>
      </w:tr>
      <w:tr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CFE9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PR (Paraná)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2FF8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4,523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B0E4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$1,607,270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4418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5.28%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1AA8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12.06 ngày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CFEF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1.91%</w:t>
            </w:r>
          </w:p>
        </w:tc>
      </w:tr>
      <w:tr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37FE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SC (Santa Catarina)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5702F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3,213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6F70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$1,067,003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1D7E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3.50%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0491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14.97 ngày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A83A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1.01%</w:t>
            </w:r>
          </w:p>
        </w:tc>
      </w:tr>
      <w:tr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F9CF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BA (Bahia)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4047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3,088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A595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$1,061,022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957E1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3.48%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319A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EF4444"/>
                <w:sz w:val="17"/>
                <w:szCs w:val="22"/>
              </w:rPr>
              <w:t>19.33 ngày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02CE9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0.30%</w:t>
            </w:r>
          </w:p>
        </w:tc>
      </w:tr>
      <w:tr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487C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GO (Goiás)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790E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1,868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4AA5E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$684,458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CC21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2.25%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D2D08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EF4444"/>
                <w:sz w:val="17"/>
                <w:szCs w:val="22"/>
              </w:rPr>
              <w:t>15.18 ngày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347C4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0.50%</w:t>
            </w:r>
          </w:p>
        </w:tc>
      </w:tr>
      <w:tr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09B2B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ES (Espírito Santo)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CF86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1,798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A503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$616,958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254F6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2.03%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5E630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EF4444"/>
                <w:sz w:val="17"/>
                <w:szCs w:val="22"/>
              </w:rPr>
              <w:t>15.57 ngày</w:t>
            </w:r>
          </w:p>
        </w:tc>
        <w:tc>
          <w:tcPr>
            <w:tcW w:w="1560" w:type="dxa"/>
            <w:shd w:val="clear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9280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0.17%</w:t>
            </w:r>
          </w:p>
        </w:tc>
      </w:tr>
      <w:tr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BECC2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DF (Distrito Federal)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683CD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1,793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B4BFA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$566,769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AD8E5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1.86%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97803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12.84 ngày</w:t>
            </w:r>
          </w:p>
        </w:tc>
        <w:tc>
          <w:tcPr>
            <w:tcW w:w="1560" w:type="dxa"/>
            <w:shd w:val="clear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8ED8C">
            <w:pPr>
              <w:spacing w:after="200" w:line="276" w:lineRule="auto"/>
            </w:pPr>
            <w:r>
              <w:rPr>
                <w:rFonts w:ascii="Arial" w:hAnsi="Arial" w:eastAsia="ＭＳ 明朝" w:cs="Arial" w:eastAsiaTheme="minorEastAsia" w:csTheme="minorBidi"/>
                <w:color w:val="334155"/>
                <w:sz w:val="17"/>
                <w:szCs w:val="22"/>
              </w:rPr>
              <w:t>1.14%</w:t>
            </w:r>
          </w:p>
        </w:tc>
      </w:tr>
    </w:tbl>
    <w:p w14:paraId="091F03DE">
      <w:pPr>
        <w:pStyle w:val="Heading1"/>
        <w:spacing w:before="280" w:after="120"/>
      </w:pPr>
      <w:r>
        <w:rPr>
          <w:rFonts w:ascii="Arial" w:hAnsi="Arial" w:eastAsia="ＭＳ ゴシック" w:cs="Arial" w:eastAsiaTheme="majorEastAsia" w:csTheme="majorBidi"/>
          <w:b/>
          <w:bCs/>
          <w:color w:val="0A192F"/>
          <w:sz w:val="28"/>
          <w:szCs w:val="28"/>
        </w:rPr>
        <w:t>PHẦN 6: ĐỀ XUẤT CHIẾN LƯỢC &amp; KẾ HOẠCH HÀNH ĐỘNG 30-60-90 NGÀY</w:t>
      </w:r>
    </w:p>
    <w:p w14:paraId="634E5F61">
      <w:pPr>
        <w:spacing w:after="200" w:line="276" w:lineRule="auto"/>
      </w:pP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Khuyến nghị chiến lược cho Ban Giám đốc:</w:t>
      </w:r>
      <w:r>
        <w:br w:type="textWrapping"/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1. Kế hoạch 30 ngày (Cấp bách):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Điều chỉnh công bố SLA giao hàng minh bạch trên website: SP (7-9 ngày), RJ (12-14 ngày), BA (18-20 ngày) nhằm giảm tỷ lệ hủy đơn do kỳ vọng sai lệch.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Xử lý hoàn tiền dứt điểm cho 404 đơn hàng bị hủy để bảo vệ uy tín thương hiệu.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Kích hoạt chiến dịch Win-Back tặng Voucher ưu đãi cho 5,281 khách hàng VIP.</w:t>
      </w:r>
      <w:r>
        <w:br w:type="textWrapping"/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2. Kế hoạch 60 ngày (Tối ưu hóa Chi phí):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Áp dụng ngưỡng Freeship tối thiểu $200 để chấm dứt tình trạng rò rỉ 17% cước vận chuyển ở các ngành phụ kiện máy tính và mỹ phẩm.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Tái đàm phán hợp đồng vận chuyển với các đơn vị giao hàng tại Rio de Janeiro và Bahia.</w:t>
      </w:r>
      <w:r>
        <w:br w:type="textWrapping"/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3. Kế hoạch 90 ngày (Cấu trúc Lại Chuỗi Cung ứng):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Thành lập Trung tâm Hoàn tất Đơn hàng Vệ tinh (Satellite Hub) tại Rio de Janeiro để phục vụ trực tiếp các bang duyên hải phía Đông.</w:t>
      </w:r>
      <w:r>
        <w:br w:type="textWrapping"/>
      </w:r>
      <w:r>
        <w:rPr>
          <w:rFonts w:ascii="Arial" w:hAnsi="Arial" w:eastAsia="ＭＳ 明朝" w:cs="Arial" w:eastAsiaTheme="minorEastAsia" w:csTheme="minorBidi"/>
          <w:color w:val="334155"/>
          <w:sz w:val="22"/>
          <w:szCs w:val="22"/>
        </w:rPr>
        <w:t>• Tích hợp hệ thống cảnh báo vận hành tự động qua Power BI Dashboard phục vụ giao ban điều hành hàng tuần.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2026-10-16T04:55:23.758Z</dcterms:modified>
  <cp:category/>
</cp:coreProperties>
</file>