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5C0" w:rsidRPr="00BA55C0" w:rsidRDefault="00BA55C0" w:rsidP="00BA55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BA55C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SOFTWARE MIGRATION PROCEDURE</w:t>
                            </w:r>
                          </w:p>
                          <w:p w:rsidR="00BA55C0" w:rsidRPr="00BA55C0" w:rsidRDefault="00BA55C0" w:rsidP="00A05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BA55C0" w:rsidRPr="00BA55C0" w:rsidRDefault="00BA55C0" w:rsidP="00BA55C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BA55C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SOFTWARE MIGRATION PROCEDURE</w:t>
                      </w:r>
                    </w:p>
                    <w:p w:rsidR="00BA55C0" w:rsidRPr="00BA55C0" w:rsidRDefault="00BA55C0" w:rsidP="00A05F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4990" w:displacedByCustomXml="next"/>
    <w:bookmarkStart w:id="1" w:name="_Toc376187916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A31D08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7852" w:history="1">
            <w:r w:rsidR="00A31D08" w:rsidRPr="00BC60DF">
              <w:rPr>
                <w:rStyle w:val="Hyperlink"/>
              </w:rPr>
              <w:t>1.</w:t>
            </w:r>
            <w:r w:rsidR="00A31D0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A31D08" w:rsidRPr="00BC60DF">
              <w:rPr>
                <w:rStyle w:val="Hyperlink"/>
              </w:rPr>
              <w:t>OVERVIEW</w:t>
            </w:r>
            <w:r w:rsidR="00A31D08">
              <w:rPr>
                <w:webHidden/>
              </w:rPr>
              <w:tab/>
            </w:r>
            <w:r w:rsidR="00A31D08">
              <w:rPr>
                <w:webHidden/>
              </w:rPr>
              <w:fldChar w:fldCharType="begin"/>
            </w:r>
            <w:r w:rsidR="00A31D08">
              <w:rPr>
                <w:webHidden/>
              </w:rPr>
              <w:instrText xml:space="preserve"> PAGEREF _Toc376517852 \h </w:instrText>
            </w:r>
            <w:r w:rsidR="00A31D08">
              <w:rPr>
                <w:webHidden/>
              </w:rPr>
            </w:r>
            <w:r w:rsidR="00A31D08">
              <w:rPr>
                <w:webHidden/>
              </w:rPr>
              <w:fldChar w:fldCharType="separate"/>
            </w:r>
            <w:r w:rsidR="00A31D08">
              <w:rPr>
                <w:webHidden/>
              </w:rPr>
              <w:t>3</w:t>
            </w:r>
            <w:r w:rsidR="00A31D08">
              <w:rPr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3" w:history="1">
            <w:r w:rsidRPr="00BC60DF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4" w:history="1">
            <w:r w:rsidRPr="00BC60DF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5" w:history="1">
            <w:r w:rsidRPr="00BC60DF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08" w:rsidRDefault="00A31D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7856" w:history="1">
            <w:r w:rsidRPr="00BC60DF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BC60DF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7" w:history="1">
            <w:r w:rsidRPr="00BC60DF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8" w:history="1">
            <w:r w:rsidRPr="00BC60DF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D08" w:rsidRDefault="00A31D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859" w:history="1">
            <w:r w:rsidRPr="00BC60DF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BC60DF">
              <w:rPr>
                <w:rStyle w:val="Hyperlink"/>
                <w:rFonts w:cstheme="majorHAnsi"/>
                <w:smallCaps/>
                <w:noProof/>
              </w:rPr>
              <w:t>Test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  <w:bookmarkStart w:id="3" w:name="_GoBack"/>
      <w:bookmarkEnd w:id="3"/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7852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7853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E11085" w:rsidRPr="00E11085" w:rsidRDefault="00E11085" w:rsidP="00E11085">
      <w:pPr>
        <w:pStyle w:val="BodyText"/>
        <w:ind w:left="720"/>
      </w:pPr>
      <w:r w:rsidRPr="00C03F8C">
        <w:t>This activity outlines the tasks controlling the migration of software from development through the test environment to production release.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7854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E11085" w:rsidRPr="00C03F8C" w:rsidRDefault="00E11085" w:rsidP="00422E07">
      <w:pPr>
        <w:ind w:left="720"/>
      </w:pPr>
      <w:r>
        <w:t>Complete t</w:t>
      </w:r>
      <w:r w:rsidRPr="00C03F8C">
        <w:t>he following b</w:t>
      </w:r>
      <w:r>
        <w:t>efore beginning this procedure:</w:t>
      </w:r>
    </w:p>
    <w:p w:rsidR="00E11085" w:rsidRPr="00E11085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</w:pPr>
      <w:bookmarkStart w:id="9" w:name="Entry_1"/>
      <w:bookmarkEnd w:id="9"/>
      <w:r w:rsidRPr="00E11085">
        <w:t>New or updated work products</w:t>
      </w:r>
    </w:p>
    <w:p w:rsidR="00E11085" w:rsidRPr="00E11085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</w:pPr>
      <w:bookmarkStart w:id="10" w:name="Entry_2"/>
      <w:bookmarkEnd w:id="10"/>
      <w:r w:rsidRPr="00E11085">
        <w:t>Master and copy production software</w:t>
      </w:r>
    </w:p>
    <w:p w:rsidR="00A05FA0" w:rsidRPr="00A05FA0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</w:pPr>
      <w:bookmarkStart w:id="11" w:name="Entry_3"/>
      <w:bookmarkEnd w:id="11"/>
      <w:r w:rsidRPr="00E11085">
        <w:t>Project Configuration Management Plan (CMP)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17855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E11085" w:rsidRPr="00C03F8C" w:rsidRDefault="00E11085" w:rsidP="00422E07">
      <w:pPr>
        <w:pStyle w:val="BodyText"/>
        <w:ind w:left="720"/>
      </w:pPr>
      <w:r w:rsidRPr="00C03F8C">
        <w:t xml:space="preserve">The following work product </w:t>
      </w:r>
      <w:r>
        <w:t>is</w:t>
      </w:r>
      <w:r w:rsidRPr="00C03F8C">
        <w:t xml:space="preserve"> </w:t>
      </w:r>
      <w:r>
        <w:t>the</w:t>
      </w:r>
      <w:r w:rsidRPr="00C03F8C">
        <w:t xml:space="preserve"> result of completing this procedure:</w:t>
      </w:r>
    </w:p>
    <w:p w:rsidR="00E11085" w:rsidRPr="00E11085" w:rsidRDefault="00E11085" w:rsidP="00422E07">
      <w:pPr>
        <w:pStyle w:val="BodyText"/>
        <w:numPr>
          <w:ilvl w:val="0"/>
          <w:numId w:val="40"/>
        </w:numPr>
        <w:spacing w:line="240" w:lineRule="auto"/>
        <w:ind w:left="1656"/>
      </w:pPr>
      <w:bookmarkStart w:id="13" w:name="Exit_1"/>
      <w:bookmarkStart w:id="14" w:name="Exit_2"/>
      <w:bookmarkStart w:id="15" w:name="Exit_3"/>
      <w:bookmarkEnd w:id="13"/>
      <w:bookmarkEnd w:id="14"/>
      <w:bookmarkEnd w:id="15"/>
      <w:r w:rsidRPr="00E11085">
        <w:t xml:space="preserve">Migrated software   </w:t>
      </w:r>
    </w:p>
    <w:p w:rsidR="00422E07" w:rsidRPr="00422E07" w:rsidRDefault="00866124" w:rsidP="00422E07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6" w:name="_Toc368055104"/>
      <w:bookmarkStart w:id="17" w:name="_Toc371593896"/>
      <w:bookmarkStart w:id="18" w:name="_Toc376184991"/>
      <w:bookmarkStart w:id="19" w:name="_Toc376187917"/>
      <w:bookmarkStart w:id="20" w:name="_Toc376188574"/>
      <w:bookmarkStart w:id="21" w:name="_Toc376188607"/>
      <w:bookmarkStart w:id="22" w:name="_Toc376517856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6"/>
      <w:bookmarkEnd w:id="17"/>
      <w:bookmarkEnd w:id="18"/>
      <w:bookmarkEnd w:id="19"/>
      <w:bookmarkEnd w:id="20"/>
      <w:bookmarkEnd w:id="21"/>
      <w:bookmarkEnd w:id="22"/>
    </w:p>
    <w:p w:rsidR="00422E07" w:rsidRPr="00422E07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Step_1"/>
      <w:bookmarkStart w:id="24" w:name="_Toc376517857"/>
      <w:bookmarkEnd w:id="23"/>
      <w:r w:rsidRPr="00422E07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</w:t>
      </w:r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ation Manager</w:t>
      </w:r>
      <w:bookmarkEnd w:id="24"/>
    </w:p>
    <w:p w:rsidR="00422E07" w:rsidRPr="00422E07" w:rsidRDefault="00422E07" w:rsidP="00422E07">
      <w:pPr>
        <w:ind w:left="720"/>
        <w:rPr>
          <w:b/>
        </w:rPr>
      </w:pPr>
      <w:r w:rsidRPr="00422E07">
        <w:rPr>
          <w:b/>
        </w:rPr>
        <w:t>Migrate the software to the project test environment.</w:t>
      </w:r>
    </w:p>
    <w:p w:rsidR="00422E07" w:rsidRPr="00C03F8C" w:rsidRDefault="00422E07" w:rsidP="00422E07">
      <w:pPr>
        <w:ind w:left="720"/>
      </w:pPr>
      <w:r>
        <w:t>M</w:t>
      </w:r>
      <w:r w:rsidRPr="00C03F8C">
        <w:t xml:space="preserve">igrate the software from the project's development </w:t>
      </w:r>
      <w:r>
        <w:t>environment</w:t>
      </w:r>
      <w:r w:rsidRPr="00C03F8C">
        <w:t xml:space="preserve"> to the </w:t>
      </w:r>
      <w:r>
        <w:t xml:space="preserve">project’s </w:t>
      </w:r>
      <w:r w:rsidRPr="00C03F8C">
        <w:t xml:space="preserve">test </w:t>
      </w:r>
      <w:r>
        <w:t>environment</w:t>
      </w:r>
      <w:r w:rsidRPr="00C03F8C">
        <w:t xml:space="preserve"> for </w:t>
      </w:r>
      <w:r>
        <w:t>Component Validation and Integration (CV&amp;I)</w:t>
      </w:r>
      <w:r w:rsidRPr="00C03F8C">
        <w:t>.</w:t>
      </w:r>
    </w:p>
    <w:p w:rsidR="00422E07" w:rsidRPr="00422E07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5" w:name="Step_2"/>
      <w:bookmarkStart w:id="26" w:name="Step_3"/>
      <w:bookmarkStart w:id="27" w:name="Step_4"/>
      <w:bookmarkStart w:id="28" w:name="_Toc376517858"/>
      <w:bookmarkEnd w:id="25"/>
      <w:bookmarkEnd w:id="26"/>
      <w:bookmarkEnd w:id="27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8"/>
    </w:p>
    <w:p w:rsidR="00422E07" w:rsidRPr="00422E07" w:rsidRDefault="00422E07" w:rsidP="00422E07">
      <w:pPr>
        <w:ind w:left="720"/>
        <w:rPr>
          <w:b/>
        </w:rPr>
      </w:pPr>
      <w:r w:rsidRPr="00422E07">
        <w:rPr>
          <w:b/>
        </w:rPr>
        <w:t>Migrate software to the Test Manager.</w:t>
      </w:r>
    </w:p>
    <w:p w:rsidR="00422E07" w:rsidRPr="00C03F8C" w:rsidRDefault="00422E07" w:rsidP="00422E07">
      <w:pPr>
        <w:pStyle w:val="BodyText"/>
        <w:ind w:left="720"/>
      </w:pPr>
      <w:r>
        <w:t xml:space="preserve">After Test Readiness Review I (TRR I), migrate </w:t>
      </w:r>
      <w:r w:rsidRPr="00C03F8C">
        <w:t xml:space="preserve">the </w:t>
      </w:r>
      <w:r>
        <w:t>software</w:t>
      </w:r>
      <w:r w:rsidRPr="00C03F8C">
        <w:t xml:space="preserve"> to </w:t>
      </w:r>
      <w:r>
        <w:t xml:space="preserve">the Test Manager for Qualification Test and Evaluation (QT&amp;E). </w:t>
      </w:r>
      <w:r w:rsidRPr="00865364">
        <w:t xml:space="preserve"> </w:t>
      </w:r>
      <w:r>
        <w:t>Any</w:t>
      </w:r>
      <w:r w:rsidRPr="00C03F8C">
        <w:t xml:space="preserve"> source code will remain under development library control.</w:t>
      </w:r>
    </w:p>
    <w:p w:rsidR="00422E07" w:rsidRPr="00422E07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9" w:name="Step_5"/>
      <w:bookmarkStart w:id="30" w:name="_Toc376517859"/>
      <w:bookmarkEnd w:id="29"/>
      <w:r w:rsidRPr="00422E07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Test Manager</w:t>
      </w:r>
      <w:bookmarkEnd w:id="30"/>
    </w:p>
    <w:p w:rsidR="00422E07" w:rsidRPr="00422E07" w:rsidRDefault="00422E07" w:rsidP="00422E07">
      <w:pPr>
        <w:ind w:left="720"/>
        <w:rPr>
          <w:b/>
        </w:rPr>
      </w:pPr>
      <w:r w:rsidRPr="00422E07">
        <w:rPr>
          <w:b/>
        </w:rPr>
        <w:t>Migrate software to the operational test environment.</w:t>
      </w:r>
    </w:p>
    <w:p w:rsidR="00422E07" w:rsidRPr="00C03F8C" w:rsidRDefault="00422E07" w:rsidP="00422E07">
      <w:pPr>
        <w:pStyle w:val="BodyText"/>
        <w:ind w:left="720"/>
      </w:pPr>
      <w:r>
        <w:t>After the Operational Test Readiness Review (OTRR), migrate the software to the operational test environment for Operational Test &amp; Evaluation (OT&amp;E)</w:t>
      </w:r>
      <w:r w:rsidRPr="00C03F8C">
        <w:t xml:space="preserve">.  </w:t>
      </w:r>
      <w:r>
        <w:t xml:space="preserve">Following a successful Field Readiness Review, </w:t>
      </w:r>
      <w:r w:rsidRPr="00C03F8C">
        <w:t xml:space="preserve">send </w:t>
      </w:r>
      <w:r>
        <w:t xml:space="preserve">the software </w:t>
      </w:r>
      <w:r w:rsidRPr="00C03F8C">
        <w:t>to the Product Distribution Function</w:t>
      </w:r>
      <w:r>
        <w:t xml:space="preserve"> for release</w:t>
      </w:r>
      <w:r w:rsidRPr="00C03F8C">
        <w:t>.</w:t>
      </w:r>
    </w:p>
    <w:p w:rsidR="00422E07" w:rsidRPr="00422E07" w:rsidRDefault="00422E07" w:rsidP="00422E07">
      <w:pPr>
        <w:rPr>
          <w:lang w:val="en-US"/>
        </w:rPr>
      </w:pPr>
    </w:p>
    <w:sectPr w:rsidR="00422E07" w:rsidRPr="00422E07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69" w:rsidRDefault="00D46F69" w:rsidP="0097517C">
      <w:pPr>
        <w:spacing w:after="0" w:line="240" w:lineRule="auto"/>
      </w:pPr>
      <w:r>
        <w:separator/>
      </w:r>
    </w:p>
  </w:endnote>
  <w:endnote w:type="continuationSeparator" w:id="0">
    <w:p w:rsidR="00D46F69" w:rsidRDefault="00D46F69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31D08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69" w:rsidRDefault="00D46F69" w:rsidP="0097517C">
      <w:pPr>
        <w:spacing w:after="0" w:line="240" w:lineRule="auto"/>
      </w:pPr>
      <w:r>
        <w:separator/>
      </w:r>
    </w:p>
  </w:footnote>
  <w:footnote w:type="continuationSeparator" w:id="0">
    <w:p w:rsidR="00D46F69" w:rsidRDefault="00D46F69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23"/>
  </w:num>
  <w:num w:numId="5">
    <w:abstractNumId w:val="35"/>
  </w:num>
  <w:num w:numId="6">
    <w:abstractNumId w:val="36"/>
  </w:num>
  <w:num w:numId="7">
    <w:abstractNumId w:val="12"/>
  </w:num>
  <w:num w:numId="8">
    <w:abstractNumId w:val="32"/>
  </w:num>
  <w:num w:numId="9">
    <w:abstractNumId w:val="0"/>
  </w:num>
  <w:num w:numId="10">
    <w:abstractNumId w:val="37"/>
  </w:num>
  <w:num w:numId="11">
    <w:abstractNumId w:val="20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8"/>
  </w:num>
  <w:num w:numId="17">
    <w:abstractNumId w:val="24"/>
  </w:num>
  <w:num w:numId="18">
    <w:abstractNumId w:val="28"/>
  </w:num>
  <w:num w:numId="19">
    <w:abstractNumId w:val="27"/>
  </w:num>
  <w:num w:numId="20">
    <w:abstractNumId w:val="16"/>
  </w:num>
  <w:num w:numId="21">
    <w:abstractNumId w:val="1"/>
  </w:num>
  <w:num w:numId="22">
    <w:abstractNumId w:val="25"/>
  </w:num>
  <w:num w:numId="23">
    <w:abstractNumId w:val="24"/>
  </w:num>
  <w:num w:numId="24">
    <w:abstractNumId w:val="22"/>
  </w:num>
  <w:num w:numId="25">
    <w:abstractNumId w:val="31"/>
  </w:num>
  <w:num w:numId="26">
    <w:abstractNumId w:val="18"/>
  </w:num>
  <w:num w:numId="27">
    <w:abstractNumId w:val="3"/>
  </w:num>
  <w:num w:numId="28">
    <w:abstractNumId w:val="15"/>
  </w:num>
  <w:num w:numId="29">
    <w:abstractNumId w:val="5"/>
  </w:num>
  <w:num w:numId="30">
    <w:abstractNumId w:val="34"/>
  </w:num>
  <w:num w:numId="31">
    <w:abstractNumId w:val="30"/>
  </w:num>
  <w:num w:numId="32">
    <w:abstractNumId w:val="29"/>
  </w:num>
  <w:num w:numId="33">
    <w:abstractNumId w:val="21"/>
  </w:num>
  <w:num w:numId="34">
    <w:abstractNumId w:val="7"/>
  </w:num>
  <w:num w:numId="35">
    <w:abstractNumId w:val="33"/>
  </w:num>
  <w:num w:numId="36">
    <w:abstractNumId w:val="6"/>
  </w:num>
  <w:num w:numId="37">
    <w:abstractNumId w:val="4"/>
  </w:num>
  <w:num w:numId="38">
    <w:abstractNumId w:val="9"/>
  </w:num>
  <w:num w:numId="39">
    <w:abstractNumId w:val="38"/>
  </w:num>
  <w:num w:numId="40">
    <w:abstractNumId w:val="26"/>
  </w:num>
  <w:num w:numId="4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3EE4A8-D6EC-42AB-97D9-2BB94E38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158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56</cp:revision>
  <dcterms:created xsi:type="dcterms:W3CDTF">2013-12-30T08:07:00Z</dcterms:created>
  <dcterms:modified xsi:type="dcterms:W3CDTF">2014-01-03T06:08:00Z</dcterms:modified>
</cp:coreProperties>
</file>