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Healthcare Claims: Where Is the Money Going?</w:t>
      </w:r>
    </w:p>
    <w:p>
      <w:pPr/>
      <w:r>
        <w:rPr>
          <w:i/>
        </w:rPr>
        <w:t xml:space="preserve">Analysis of claims.csv: 449 claims, $1.55M paid out of $2.06M billed</w:t>
      </w:r>
    </w:p>
    <w:p>
      <w:pPr>
        <w:pStyle w:val="Heading2"/>
      </w:pPr>
      <w:r>
        <w:t xml:space="preserve">Project Overview</w:t>
      </w:r>
    </w:p>
    <w:p>
      <w:pPr/>
      <w:r>
        <w:t xml:space="preserve">This project uses SQL to answer one question about a health insurer's claims data: where is the money going? It covers cleaning invalid medical codes, ranking costs by claim type, code, member and provider, and comparing billed with paid amounts.</w:t>
      </w:r>
    </w:p>
    <w:p>
      <w:pPr/>
      <w:r>
        <w:t xml:space="preserve">Tools used: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Excel / CSV:</w:t>
      </w:r>
      <w:r>
        <w:t xml:space="preserve"> source data (claims.csv)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SQL Server (T-SQL):</w:t>
      </w:r>
      <w:r>
        <w:t xml:space="preserve"> import, data cleaning, aggregation, CTEs and window functions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Tableau:</w:t>
      </w:r>
      <w:r>
        <w:t xml:space="preserve"> used to visualize the results</w:t>
      </w:r>
    </w:p>
    <w:p>
      <w:pPr/>
      <w:r>
        <w:t xml:space="preserve">The dataset has 449 claims for 100 members from November 2022 to November 2024, across 103 providers and five claim types. Note that 449 counts claims, not unique people: a member with several claims appears once per claim. The members file was reviewed column by column but not joined, so all results come from the claims file.</w:t>
      </w:r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3"/>
        </w:numPr>
      </w:pPr>
      <w:r>
        <w:t xml:space="preserve">Find which claim types are the most expensive</w:t>
      </w:r>
    </w:p>
    <w:p>
      <w:pPr>
        <w:pStyle w:val="ListParagraph"/>
        <w:numPr>
          <w:ilvl w:val="0"/>
          <w:numId w:val="3"/>
        </w:numPr>
      </w:pPr>
      <w:r>
        <w:t xml:space="preserve">Find which CPT and ICD codes drive the highest spending</w:t>
      </w:r>
    </w:p>
    <w:p>
      <w:pPr>
        <w:pStyle w:val="ListParagraph"/>
        <w:numPr>
          <w:ilvl w:val="0"/>
          <w:numId w:val="3"/>
        </w:numPr>
      </w:pPr>
      <w:r>
        <w:t xml:space="preserve">Find which members account for the largest share of total cost</w:t>
      </w:r>
    </w:p>
    <w:p>
      <w:pPr>
        <w:pStyle w:val="ListParagraph"/>
        <w:numPr>
          <w:ilvl w:val="0"/>
          <w:numId w:val="3"/>
        </w:numPr>
      </w:pPr>
      <w:r>
        <w:t xml:space="preserve">Compare billed amounts with paid amounts, by claim type, provider and CPT code</w:t>
      </w:r>
    </w:p>
    <w:p>
      <w:pPr>
        <w:pStyle w:val="Heading2"/>
      </w:pPr>
      <w:r>
        <w:t xml:space="preserve">Skills Demonstrated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Data cleaning in SQL Server:</w:t>
      </w:r>
      <w:r>
        <w:t xml:space="preserve"> checked CPT and ICD codes, restored lost leading zeros, and flagged invalid values as </w:t>
      </w:r>
      <w:r>
        <w:rPr>
          <w:rStyle w:val="CodeChar"/>
        </w:rPr>
        <w:t xml:space="preserve">Unknown</w:t>
      </w:r>
      <w:r>
        <w:t xml:space="preserve"> in new columns (</w:t>
      </w:r>
      <w:r>
        <w:rPr>
          <w:rStyle w:val="CodeChar"/>
        </w:rPr>
        <w:t xml:space="preserve">cpt_code_clean</w:t>
      </w:r>
      <w:r>
        <w:t xml:space="preserve">, </w:t>
      </w:r>
      <w:r>
        <w:rPr>
          <w:rStyle w:val="CodeChar"/>
        </w:rPr>
        <w:t xml:space="preserve">icd_code_clean</w:t>
      </w:r>
      <w:r>
        <w:t xml:space="preserve">) instead of deleting rows, which would have removed 57% of paid cost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T-SQL:</w:t>
      </w:r>
      <w:r>
        <w:t xml:space="preserve"> </w:t>
      </w:r>
      <w:r>
        <w:rPr>
          <w:rStyle w:val="CodeChar"/>
        </w:rPr>
        <w:t xml:space="preserve">GROUP BY</w:t>
      </w:r>
      <w:r>
        <w:t xml:space="preserve"> and </w:t>
      </w:r>
      <w:r>
        <w:rPr>
          <w:rStyle w:val="CodeChar"/>
        </w:rPr>
        <w:t xml:space="preserve">HAVING</w:t>
      </w:r>
      <w:r>
        <w:t xml:space="preserve">, CTEs, window functions (</w:t>
      </w:r>
      <w:r>
        <w:rPr>
          <w:rStyle w:val="CodeChar"/>
        </w:rPr>
        <w:t xml:space="preserve">COUNT() OVER (PARTITION BY ...)</w:t>
      </w:r>
      <w:r>
        <w:t xml:space="preserve">), </w:t>
      </w:r>
      <w:r>
        <w:rPr>
          <w:rStyle w:val="CodeChar"/>
        </w:rPr>
        <w:t xml:space="preserve">CAST</w:t>
      </w:r>
      <w:r>
        <w:t xml:space="preserve"> to </w:t>
      </w:r>
      <w:r>
        <w:rPr>
          <w:rStyle w:val="CodeChar"/>
        </w:rPr>
        <w:t xml:space="preserve">DECIMAL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Analytical judgment:</w:t>
      </w:r>
      <w:r>
        <w:t xml:space="preserve"> minimum claim counts before comparing averages, controlling for claim type when comparing providers, and spotting averages driven by a single claim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Data quality assessment:</w:t>
      </w:r>
      <w:r>
        <w:t xml:space="preserve"> quantified the invalid codes and stated the limits of the data</w:t>
      </w:r>
    </w:p>
    <w:p>
      <w:pPr>
        <w:pStyle w:val="Heading2"/>
      </w:pPr>
      <w:r>
        <w:t xml:space="preserve">Headline</w:t>
      </w:r>
    </w:p>
    <w:p>
      <w:pPr/>
      <w:r>
        <w:t xml:space="preserve">Of </w:t>
      </w:r>
      <w:r>
        <w:rPr>
          <w:b/>
        </w:rPr>
        <w:t xml:space="preserve">$1.55M</w:t>
      </w:r>
      <w:r>
        <w:t xml:space="preserve"> paid on 449 claims (from $2.06M billed), about </w:t>
      </w:r>
      <w:r>
        <w:rPr>
          <w:b/>
        </w:rPr>
        <w:t xml:space="preserve">89% goes to Inpatient and Emergency claims</w:t>
      </w:r>
      <w:r>
        <w:t xml:space="preserve">. Inpatient alone is 70%. Spending is not concentrated in a few members, but it is concentrated in claim type and in a few providers.</w:t>
      </w:r>
    </w:p>
    <w:p>
      <w:pPr>
        <w:pStyle w:val="Heading2"/>
      </w:pPr>
      <w:r>
        <w:t xml:space="preserve">1. Claim Type Cost Breakdown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Claim 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Claims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Billed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Paid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Share of paid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Avg paid per claim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Inpatient</w:t>
            </w:r>
          </w:p>
        </w:tc>
        <w:tc>
          <w:tcPr>
            <w:tcW w:w="1560" w:type="dxa"/>
          </w:tcPr>
          <w:p>
            <w:pPr/>
            <w:r>
              <w:t xml:space="preserve">99</w:t>
            </w:r>
          </w:p>
        </w:tc>
        <w:tc>
          <w:tcPr>
            <w:tcW w:w="1560" w:type="dxa"/>
          </w:tcPr>
          <w:p>
            <w:pPr/>
            <w:r>
              <w:t xml:space="preserve">$1,478,601</w:t>
            </w:r>
          </w:p>
        </w:tc>
        <w:tc>
          <w:tcPr>
            <w:tcW w:w="1560" w:type="dxa"/>
          </w:tcPr>
          <w:p>
            <w:pPr/>
            <w:r>
              <w:t xml:space="preserve">$1,092,456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70%</w:t>
            </w:r>
          </w:p>
        </w:tc>
        <w:tc>
          <w:tcPr>
            <w:tcW w:w="1560" w:type="dxa"/>
          </w:tcPr>
          <w:p>
            <w:pPr/>
            <w:r>
              <w:t xml:space="preserve">$11,035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Emergency</w:t>
            </w:r>
          </w:p>
        </w:tc>
        <w:tc>
          <w:tcPr>
            <w:tcW w:w="1560" w:type="dxa"/>
          </w:tcPr>
          <w:p>
            <w:pPr/>
            <w:r>
              <w:t xml:space="preserve">88</w:t>
            </w:r>
          </w:p>
        </w:tc>
        <w:tc>
          <w:tcPr>
            <w:tcW w:w="1560" w:type="dxa"/>
          </w:tcPr>
          <w:p>
            <w:pPr/>
            <w:r>
              <w:t xml:space="preserve">$384,242</w:t>
            </w:r>
          </w:p>
        </w:tc>
        <w:tc>
          <w:tcPr>
            <w:tcW w:w="1560" w:type="dxa"/>
          </w:tcPr>
          <w:p>
            <w:pPr/>
            <w:r>
              <w:t xml:space="preserve">$294,441</w:t>
            </w:r>
          </w:p>
        </w:tc>
        <w:tc>
          <w:tcPr>
            <w:tcW w:w="1560" w:type="dxa"/>
          </w:tcPr>
          <w:p>
            <w:pPr/>
            <w:r>
              <w:t xml:space="preserve">19%</w:t>
            </w:r>
          </w:p>
        </w:tc>
        <w:tc>
          <w:tcPr>
            <w:tcW w:w="1560" w:type="dxa"/>
          </w:tcPr>
          <w:p>
            <w:pPr/>
            <w:r>
              <w:t xml:space="preserve">$3,346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Outpatient</w:t>
            </w:r>
          </w:p>
        </w:tc>
        <w:tc>
          <w:tcPr>
            <w:tcW w:w="1560" w:type="dxa"/>
          </w:tcPr>
          <w:p>
            <w:pPr/>
            <w:r>
              <w:t xml:space="preserve">105</w:t>
            </w:r>
          </w:p>
        </w:tc>
        <w:tc>
          <w:tcPr>
            <w:tcW w:w="1560" w:type="dxa"/>
          </w:tcPr>
          <w:p>
            <w:pPr/>
            <w:r>
              <w:t xml:space="preserve">$160,718</w:t>
            </w:r>
          </w:p>
        </w:tc>
        <w:tc>
          <w:tcPr>
            <w:tcW w:w="1560" w:type="dxa"/>
          </w:tcPr>
          <w:p>
            <w:pPr/>
            <w:r>
              <w:t xml:space="preserve">$129,053</w:t>
            </w:r>
          </w:p>
        </w:tc>
        <w:tc>
          <w:tcPr>
            <w:tcW w:w="1560" w:type="dxa"/>
          </w:tcPr>
          <w:p>
            <w:pPr/>
            <w:r>
              <w:t xml:space="preserve">8%</w:t>
            </w:r>
          </w:p>
        </w:tc>
        <w:tc>
          <w:tcPr>
            <w:tcW w:w="1560" w:type="dxa"/>
          </w:tcPr>
          <w:p>
            <w:pPr/>
            <w:r>
              <w:t xml:space="preserve">$1,229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Lab</w:t>
            </w:r>
          </w:p>
        </w:tc>
        <w:tc>
          <w:tcPr>
            <w:tcW w:w="1560" w:type="dxa"/>
          </w:tcPr>
          <w:p>
            <w:pPr/>
            <w:r>
              <w:t xml:space="preserve">76</w:t>
            </w:r>
          </w:p>
        </w:tc>
        <w:tc>
          <w:tcPr>
            <w:tcW w:w="1560" w:type="dxa"/>
          </w:tcPr>
          <w:p>
            <w:pPr/>
            <w:r>
              <w:t xml:space="preserve">$25,790</w:t>
            </w:r>
          </w:p>
        </w:tc>
        <w:tc>
          <w:tcPr>
            <w:tcW w:w="1560" w:type="dxa"/>
          </w:tcPr>
          <w:p>
            <w:pPr/>
            <w:r>
              <w:t xml:space="preserve">$23,412</w:t>
            </w:r>
          </w:p>
        </w:tc>
        <w:tc>
          <w:tcPr>
            <w:tcW w:w="1560" w:type="dxa"/>
          </w:tcPr>
          <w:p>
            <w:pPr/>
            <w:r>
              <w:t xml:space="preserve">2%</w:t>
            </w:r>
          </w:p>
        </w:tc>
        <w:tc>
          <w:tcPr>
            <w:tcW w:w="1560" w:type="dxa"/>
          </w:tcPr>
          <w:p>
            <w:pPr/>
            <w:r>
              <w:t xml:space="preserve">$308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Pharmacy</w:t>
            </w:r>
          </w:p>
        </w:tc>
        <w:tc>
          <w:tcPr>
            <w:tcW w:w="1560" w:type="dxa"/>
          </w:tcPr>
          <w:p>
            <w:pPr/>
            <w:r>
              <w:t xml:space="preserve">81</w:t>
            </w:r>
          </w:p>
        </w:tc>
        <w:tc>
          <w:tcPr>
            <w:tcW w:w="1560" w:type="dxa"/>
          </w:tcPr>
          <w:p>
            <w:pPr/>
            <w:r>
              <w:t xml:space="preserve">$12,815</w:t>
            </w:r>
          </w:p>
        </w:tc>
        <w:tc>
          <w:tcPr>
            <w:tcW w:w="1560" w:type="dxa"/>
          </w:tcPr>
          <w:p>
            <w:pPr/>
            <w:r>
              <w:t xml:space="preserve">$11,382</w:t>
            </w:r>
          </w:p>
        </w:tc>
        <w:tc>
          <w:tcPr>
            <w:tcW w:w="1560" w:type="dxa"/>
          </w:tcPr>
          <w:p>
            <w:pPr/>
            <w:r>
              <w:t xml:space="preserve">1%</w:t>
            </w:r>
          </w:p>
        </w:tc>
        <w:tc>
          <w:tcPr>
            <w:tcW w:w="1560" w:type="dxa"/>
          </w:tcPr>
          <w:p>
            <w:pPr/>
            <w:r>
              <w:t xml:space="preserve">$141</w:t>
            </w:r>
          </w:p>
        </w:tc>
      </w:tr>
    </w:tbl>
    <w:p>
      <w:pPr/>
      <w:r>
        <w:t xml:space="preserve">Outpatient has the most claims but only 8% of cost. Inpatient has a similar number of claims and about 8 times the cost.</w:t>
      </w:r>
    </w:p>
    <w:p>
      <w:pPr>
        <w:pStyle w:val="Heading2"/>
      </w:pPr>
      <w:r>
        <w:t xml:space="preserve">2. CPT and ICD Cost Drivers</w:t>
      </w:r>
    </w:p>
    <w:p>
      <w:pPr>
        <w:pStyle w:val="Heading3"/>
      </w:pPr>
      <w:r>
        <w:t xml:space="preserve">CPT codes</w:t>
      </w:r>
    </w:p>
    <w:p>
      <w:pPr/>
      <w:r>
        <w:t xml:space="preserve">216 claims (48%) carry an invalid or placeholder code, grouped as </w:t>
      </w:r>
      <w:r>
        <w:rPr>
          <w:rStyle w:val="CodeChar"/>
        </w:rPr>
        <w:t xml:space="preserve">Unknown</w:t>
      </w:r>
      <w:r>
        <w:t xml:space="preserve">, and they account for </w:t>
      </w:r>
      <w:r>
        <w:rPr>
          <w:b/>
        </w:rPr>
        <w:t xml:space="preserve">52% of paid</w:t>
      </w:r>
      <w:r>
        <w:t xml:space="preserve">. Among valid codes: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CPT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Claims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Avg per claim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00123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$122,010</w:t>
            </w:r>
          </w:p>
        </w:tc>
        <w:tc>
          <w:tcPr>
            <w:tcW w:w="2340" w:type="dxa"/>
          </w:tcPr>
          <w:p>
            <w:pPr/>
            <w:r>
              <w:t xml:space="preserve">$10,168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99223 (hospital admission)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$57,350</w:t>
            </w:r>
          </w:p>
        </w:tc>
        <w:tc>
          <w:tcPr>
            <w:tcW w:w="2340" w:type="dxa"/>
          </w:tcPr>
          <w:p>
            <w:pPr/>
            <w:r>
              <w:t xml:space="preserve">$9,558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00567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$38,969</w:t>
            </w:r>
          </w:p>
        </w:tc>
        <w:tc>
          <w:tcPr>
            <w:tcW w:w="2340" w:type="dxa"/>
          </w:tcPr>
          <w:p>
            <w:pPr/>
            <w:r>
              <w:t xml:space="preserve">$4,330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99213 (office visit)</w:t>
            </w:r>
          </w:p>
        </w:tc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$32,905</w:t>
            </w:r>
          </w:p>
        </w:tc>
        <w:tc>
          <w:tcPr>
            <w:tcW w:w="2340" w:type="dxa"/>
          </w:tcPr>
          <w:p>
            <w:pPr/>
            <w:r>
              <w:t xml:space="preserve">$1,567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99285 (ER visit)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$30,501</w:t>
            </w:r>
          </w:p>
        </w:tc>
        <w:tc>
          <w:tcPr>
            <w:tcW w:w="2340" w:type="dxa"/>
          </w:tcPr>
          <w:p>
            <w:pPr/>
            <w:r>
              <w:t xml:space="preserve">$2,033</w:t>
            </w:r>
          </w:p>
        </w:tc>
      </w:tr>
    </w:tbl>
    <w:p>
      <w:pPr/>
      <w:r>
        <w:t xml:space="preserve">Codes with a single claim (such as 36512 at $25,600) were excluded from the "highest average" ranking, because one claim does not show a typical price.</w:t>
      </w:r>
    </w:p>
    <w:p>
      <w:pPr>
        <w:pStyle w:val="Heading3"/>
      </w:pPr>
      <w:r>
        <w:t xml:space="preserve">ICD codes (diagnosis)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ICD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Claims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Share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I10</w:t>
            </w:r>
          </w:p>
        </w:tc>
        <w:tc>
          <w:tcPr>
            <w:tcW w:w="1872" w:type="dxa"/>
          </w:tcPr>
          <w:p>
            <w:pPr/>
            <w:r>
              <w:t xml:space="preserve">Hypertension</w:t>
            </w:r>
          </w:p>
        </w:tc>
        <w:tc>
          <w:tcPr>
            <w:tcW w:w="1872" w:type="dxa"/>
          </w:tcPr>
          <w:p>
            <w:pPr/>
            <w:r>
              <w:t xml:space="preserve">34</w:t>
            </w:r>
          </w:p>
        </w:tc>
        <w:tc>
          <w:tcPr>
            <w:tcW w:w="1872" w:type="dxa"/>
          </w:tcPr>
          <w:p>
            <w:pPr/>
            <w:r>
              <w:t xml:space="preserve">$259,566</w:t>
            </w:r>
          </w:p>
        </w:tc>
        <w:tc>
          <w:tcPr>
            <w:tcW w:w="1872" w:type="dxa"/>
          </w:tcPr>
          <w:p>
            <w:pPr/>
            <w:r>
              <w:t xml:space="preserve">16.7%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Unknown</w:t>
            </w:r>
          </w:p>
        </w:tc>
        <w:tc>
          <w:tcPr>
            <w:tcW w:w="1872" w:type="dxa"/>
          </w:tcPr>
          <w:p>
            <w:pPr/>
            <w:r>
              <w:t xml:space="preserve">Invalid codes</w:t>
            </w:r>
          </w:p>
        </w:tc>
        <w:tc>
          <w:tcPr>
            <w:tcW w:w="1872" w:type="dxa"/>
          </w:tcPr>
          <w:p>
            <w:pPr/>
            <w:r>
              <w:t xml:space="preserve">65</w:t>
            </w:r>
          </w:p>
        </w:tc>
        <w:tc>
          <w:tcPr>
            <w:tcW w:w="1872" w:type="dxa"/>
          </w:tcPr>
          <w:p>
            <w:pPr/>
            <w:r>
              <w:t xml:space="preserve">$256,559</w:t>
            </w:r>
          </w:p>
        </w:tc>
        <w:tc>
          <w:tcPr>
            <w:tcW w:w="1872" w:type="dxa"/>
          </w:tcPr>
          <w:p>
            <w:pPr/>
            <w:r>
              <w:t xml:space="preserve">16.5%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B20 + B20.1</w:t>
            </w:r>
          </w:p>
        </w:tc>
        <w:tc>
          <w:tcPr>
            <w:tcW w:w="1872" w:type="dxa"/>
          </w:tcPr>
          <w:p>
            <w:pPr/>
            <w:r>
              <w:t xml:space="preserve">HIV disease</w:t>
            </w:r>
          </w:p>
        </w:tc>
        <w:tc>
          <w:tcPr>
            <w:tcW w:w="1872" w:type="dxa"/>
          </w:tcPr>
          <w:p>
            <w:pPr/>
            <w:r>
              <w:t xml:space="preserve">30</w:t>
            </w:r>
          </w:p>
        </w:tc>
        <w:tc>
          <w:tcPr>
            <w:tcW w:w="1872" w:type="dxa"/>
          </w:tcPr>
          <w:p>
            <w:pPr/>
            <w:r>
              <w:t xml:space="preserve">$246,200</w:t>
            </w:r>
          </w:p>
        </w:tc>
        <w:tc>
          <w:tcPr>
            <w:tcW w:w="1872" w:type="dxa"/>
          </w:tcPr>
          <w:p>
            <w:pPr/>
            <w:r>
              <w:t xml:space="preserve">15.9%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C34.91</w:t>
            </w:r>
          </w:p>
        </w:tc>
        <w:tc>
          <w:tcPr>
            <w:tcW w:w="1872" w:type="dxa"/>
          </w:tcPr>
          <w:p>
            <w:pPr/>
            <w:r>
              <w:t xml:space="preserve">Lung cancer</w:t>
            </w:r>
          </w:p>
        </w:tc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$62,905</w:t>
            </w:r>
          </w:p>
        </w:tc>
        <w:tc>
          <w:tcPr>
            <w:tcW w:w="1872" w:type="dxa"/>
          </w:tcPr>
          <w:p>
            <w:pPr/>
            <w:r>
              <w:t xml:space="preserve">4.1%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E11.65 / E11.9</w:t>
            </w:r>
          </w:p>
        </w:tc>
        <w:tc>
          <w:tcPr>
            <w:tcW w:w="1872" w:type="dxa"/>
          </w:tcPr>
          <w:p>
            <w:pPr/>
            <w:r>
              <w:t xml:space="preserve">Type 2 diabetes</w:t>
            </w:r>
          </w:p>
        </w:tc>
        <w:tc>
          <w:tcPr>
            <w:tcW w:w="1872" w:type="dxa"/>
          </w:tcPr>
          <w:p>
            <w:pPr/>
            <w:r>
              <w:t xml:space="preserve">62</w:t>
            </w:r>
          </w:p>
        </w:tc>
        <w:tc>
          <w:tcPr>
            <w:tcW w:w="1872" w:type="dxa"/>
          </w:tcPr>
          <w:p>
            <w:pPr/>
            <w:r>
              <w:t xml:space="preserve">$85,278</w:t>
            </w:r>
          </w:p>
        </w:tc>
        <w:tc>
          <w:tcPr>
            <w:tcW w:w="1872" w:type="dxa"/>
          </w:tcPr>
          <w:p>
            <w:pPr/>
            <w:r>
              <w:t xml:space="preserve">5.5%</w:t>
            </w:r>
          </w:p>
        </w:tc>
      </w:tr>
    </w:tbl>
    <w:p>
      <w:pPr/>
      <w:r>
        <w:t xml:space="preserve">Chronic conditions (hypertension, HIV, diabetes) are the main diagnosis-level cost drivers. Diabetes has the most claims but a low cost per claim (E11.9 averages $682).</w:t>
      </w:r>
    </w:p>
    <w:p>
      <w:pPr>
        <w:pStyle w:val="Heading2"/>
      </w:pPr>
      <w:r>
        <w:t xml:space="preserve">3. Member-Level Analysis</w:t>
      </w:r>
    </w:p>
    <w:p>
      <w:pPr>
        <w:pStyle w:val="ListParagraph"/>
        <w:numPr>
          <w:ilvl w:val="0"/>
          <w:numId w:val="5"/>
        </w:numPr>
      </w:pPr>
      <w:r>
        <w:t xml:space="preserve">100 members, and </w:t>
      </w:r>
      <w:r>
        <w:rPr>
          <w:b/>
        </w:rPr>
        <w:t xml:space="preserve">cost is spread out</w:t>
      </w:r>
      <w:r>
        <w:t xml:space="preserve">: the top 5 members account for 11.6% of paid and the top 10 for 20.6%.</w:t>
      </w:r>
    </w:p>
    <w:p>
      <w:pPr>
        <w:pStyle w:val="ListParagraph"/>
        <w:numPr>
          <w:ilvl w:val="0"/>
          <w:numId w:val="5"/>
        </w:numPr>
      </w:pPr>
      <w:r>
        <w:t xml:space="preserve">The highest-cost members are 6 ($43,300), 32 ($40,080), 58 ($35,920), 82 and 28.</w:t>
      </w:r>
    </w:p>
    <w:p>
      <w:pPr>
        <w:pStyle w:val="ListParagraph"/>
        <w:numPr>
          <w:ilvl w:val="0"/>
          <w:numId w:val="5"/>
        </w:numPr>
      </w:pPr>
      <w:r>
        <w:t xml:space="preserve">For all five, </w:t>
      </w:r>
      <w:r>
        <w:rPr>
          <w:b/>
        </w:rPr>
        <w:t xml:space="preserve">Inpatient is the main driver</w:t>
      </w:r>
      <w:r>
        <w:t xml:space="preserve">, at $25,000 to $35,000 each, so one hospital stay explains most of their cost.</w:t>
      </w:r>
    </w:p>
    <w:p>
      <w:pPr>
        <w:pStyle w:val="Heading2"/>
      </w:pPr>
      <w:r>
        <w:t xml:space="preserve">4. Billed vs Paid</w:t>
      </w:r>
    </w:p>
    <w:p>
      <w:pPr/>
      <w:r>
        <w:t xml:space="preserve">Overall, the insurer pays </w:t>
      </w:r>
      <w:r>
        <w:rPr>
          <w:b/>
        </w:rPr>
        <w:t xml:space="preserve">75%</w:t>
      </w:r>
      <w:r>
        <w:t xml:space="preserve"> of the billed amount (83% when averaging each claim's ratio).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Claim type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Avg paid ratio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Inpatient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0.757</w:t>
            </w:r>
            <w:r>
              <w:t xml:space="preserve"> (lowest)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Emergency</w:t>
            </w:r>
          </w:p>
        </w:tc>
        <w:tc>
          <w:tcPr>
            <w:tcW w:w="4680" w:type="dxa"/>
          </w:tcPr>
          <w:p>
            <w:pPr/>
            <w:r>
              <w:t xml:space="preserve">0.785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Outpatient</w:t>
            </w:r>
          </w:p>
        </w:tc>
        <w:tc>
          <w:tcPr>
            <w:tcW w:w="4680" w:type="dxa"/>
          </w:tcPr>
          <w:p>
            <w:pPr/>
            <w:r>
              <w:t xml:space="preserve">0.836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Pharmacy</w:t>
            </w:r>
          </w:p>
        </w:tc>
        <w:tc>
          <w:tcPr>
            <w:tcW w:w="4680" w:type="dxa"/>
          </w:tcPr>
          <w:p>
            <w:pPr/>
            <w:r>
              <w:t xml:space="preserve">0.887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Lab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0.915</w:t>
            </w:r>
            <w:r>
              <w:t xml:space="preserve"> (highest)</w:t>
            </w:r>
          </w:p>
        </w:tc>
      </w:tr>
    </w:tbl>
    <w:p>
      <w:pPr/>
      <w:r>
        <w:t xml:space="preserve">Provider ratios (providers with at least 5 claims) range from 0.785 to 0.916, so no provider is a major outlier. The gap likely reflects network discounts and member cost-sharing, which the data cannot separate.</w:t>
      </w:r>
    </w:p>
    <w:p>
      <w:pPr>
        <w:pStyle w:val="Heading2"/>
      </w:pPr>
      <w:r>
        <w:t xml:space="preserve">Provider Concentration</w:t>
      </w:r>
    </w:p>
    <w:p>
      <w:pPr/>
      <w:r>
        <w:t xml:space="preserve">PRV00002 alone accounts for </w:t>
      </w:r>
      <w:r>
        <w:rPr>
          <w:b/>
        </w:rPr>
        <w:t xml:space="preserve">$318,850 (20.6%)</w:t>
      </w:r>
      <w:r>
        <w:t xml:space="preserve"> of total paid, and the top 3 providers for about 39%. Provider price differences for the same CPT code (for example 99213) mostly disappeared after comparing within the same claim type, so they were mainly a claim-type effect.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6"/>
        </w:numPr>
      </w:pPr>
      <w:r>
        <w:t xml:space="preserve">There are </w:t>
      </w:r>
      <w:r>
        <w:rPr>
          <w:b/>
        </w:rPr>
        <w:t xml:space="preserve">no premium figures</w:t>
      </w:r>
      <w:r>
        <w:t xml:space="preserve">, so profitability and loss ratio cannot be calculated; this report shows only where costs concentrate.</w:t>
      </w:r>
    </w:p>
    <w:p>
      <w:pPr>
        <w:pStyle w:val="ListParagraph"/>
        <w:numPr>
          <w:ilvl w:val="0"/>
          <w:numId w:val="6"/>
        </w:numPr>
      </w:pPr>
      <w:r>
        <w:t xml:space="preserve">CPT and ICD quality is low (52% and 16.5% invalid), which suggests the data is synthetic.</w:t>
      </w:r>
    </w:p>
    <w:p>
      <w:pPr>
        <w:pStyle w:val="ListParagraph"/>
        <w:numPr>
          <w:ilvl w:val="0"/>
          <w:numId w:val="6"/>
        </w:numPr>
      </w:pPr>
      <w:r>
        <w:t xml:space="preserve">Small samples at the provider and code level mean those findings are indicators, not proof.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Healthcare Claims Where Is the Money Going</dc:title>
  <dc:description>Claude Docs node/ab13bbca-0fef@4 docx-w6</dc:description>
  <cp:revision>4</cp:revision>
</cp:coreProperties>
</file>