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123aace355f928adfdffcccb4c2b3a2029c517d"/>
    <w:p>
      <w:pPr>
        <w:pStyle w:val="Heading1"/>
      </w:pPr>
      <w:r>
        <w:t xml:space="preserve">Phân tích chuyên sâu về xu hướng năng suất NVPTTT của GHN trong từ 2019-2024</w:t>
      </w:r>
    </w:p>
    <w:p>
      <w:pPr>
        <w:pStyle w:val="FirstParagraph"/>
      </w:pPr>
      <w:r>
        <w:t xml:space="preserve">Giới thiệu</w:t>
      </w:r>
    </w:p>
    <w:p>
      <w:pPr>
        <w:pStyle w:val="BodyText"/>
      </w:pPr>
      <w:r>
        <w:t xml:space="preserve">Trong bối cảnh cạnh tranh nóng bỏng của ngành vận chuyển, việc nâng cao năng suất làm việc của nhân viên giao hàng nhanh (NVPTTT) là điều cần thiết để đáp ứng yêu cầu ngày càng cao của thị trường. Báo cáo này phân tích các yếu tố chủ chốt ảnh hưởng đến năng suất tại Giao Hàng Nhanh (GHN) từ năm 2019 đến 2024. Qua các dữ liệu phân tích về quy mô sản lượng, mật độ đơn hàng, và độ phủ của bưu cục, báo cáo đưa ra các đề xuất cụ thể nhằm tăng cường hiệu quả hoạt động, với mục tiêu tăng năng suất lên 15% trong ba quý tiếp theo.</w:t>
      </w:r>
    </w:p>
    <w:bookmarkStart w:id="20" w:name="kết-luận"/>
    <w:p>
      <w:pPr>
        <w:pStyle w:val="Heading2"/>
      </w:pPr>
      <w:r>
        <w:t xml:space="preserve">Kết luận</w:t>
      </w:r>
    </w:p>
    <w:p>
      <w:pPr>
        <w:pStyle w:val="FirstParagraph"/>
      </w:pPr>
      <w:r>
        <w:t xml:space="preserve">Báo cáo đã chỉ ra các yếu tố then chốt trong việc nâng cao năng suất NVPTTT tại GHN, bao gồm quy mô sản lượng, mật độ đơn hàng và độ phủ của bưu cục. Dữ liệu cho thấy năng suất có xu hướng tăng trưởng nhưng còn nhiều thách thức, với mức năng suất năm 2023 đạt khoảng 199.3 triệu VND/người. Để đảm bảo mức tăng trưởng 15% trong thời gian tới, GHN cần tập trung vào các chiến lược như tối ưu hóa quy trình vận chuyển, nâng cấp cơ sở hạ tầng, và đào tạo nhân lực. Những hành động này sẽ không chỉ nâng cao hiệu quả mà còn tăng cường giá trị cải cách trong cung ứng dịch vụ logistics của công ty.</w:t>
      </w:r>
    </w:p>
    <w:tbl>
      <w:tblPr>
        <w:tblStyle w:val="Table"/>
        <w:tblW w:type="pct" w:w="5000"/>
        <w:tblLayout w:type="fixed"/>
        <w:tblLook w:firstRow="1" w:lastRow="0" w:firstColumn="0" w:lastColumn="0" w:noHBand="0" w:noVBand="0" w:val="0020"/>
      </w:tblPr>
      <w:tblGrid>
        <w:gridCol w:w="2046"/>
        <w:gridCol w:w="5873"/>
      </w:tblGrid>
      <w:tr>
        <w:trPr>
          <w:tblHeader w:val="on"/>
        </w:trPr>
        <w:tc>
          <w:tcPr/>
          <w:p>
            <w:pPr>
              <w:pStyle w:val="Compact"/>
            </w:pPr>
            <w:r>
              <w:t xml:space="preserve">Yếu tố</w:t>
            </w:r>
          </w:p>
        </w:tc>
        <w:tc>
          <w:tcPr/>
          <w:p>
            <w:pPr>
              <w:pStyle w:val="Compact"/>
            </w:pPr>
            <w:r>
              <w:t xml:space="preserve">Tác động đến năng suất</w:t>
            </w:r>
          </w:p>
        </w:tc>
      </w:tr>
      <w:tr>
        <w:tc>
          <w:tcPr/>
          <w:p>
            <w:pPr>
              <w:pStyle w:val="Compact"/>
            </w:pPr>
            <w:r>
              <w:t xml:space="preserve">Quy mô sản lượng</w:t>
            </w:r>
          </w:p>
        </w:tc>
        <w:tc>
          <w:tcPr/>
          <w:p>
            <w:pPr>
              <w:pStyle w:val="Compact"/>
            </w:pPr>
            <w:r>
              <w:t xml:space="preserve">Tăng hiệu suất và giảm chi phí.</w:t>
            </w:r>
          </w:p>
        </w:tc>
      </w:tr>
      <w:tr>
        <w:tc>
          <w:tcPr/>
          <w:p>
            <w:pPr>
              <w:pStyle w:val="Compact"/>
            </w:pPr>
            <w:r>
              <w:t xml:space="preserve">Mật độ đơn hàng</w:t>
            </w:r>
          </w:p>
        </w:tc>
        <w:tc>
          <w:tcPr/>
          <w:p>
            <w:pPr>
              <w:pStyle w:val="Compact"/>
            </w:pPr>
            <w:r>
              <w:t xml:space="preserve">Nâng cao hiệu quả khai thác tài nguyên.</w:t>
            </w:r>
          </w:p>
        </w:tc>
      </w:tr>
      <w:tr>
        <w:tc>
          <w:tcPr/>
          <w:p>
            <w:pPr>
              <w:pStyle w:val="Compact"/>
            </w:pPr>
            <w:r>
              <w:t xml:space="preserve">Độ phủ bưu cục</w:t>
            </w:r>
          </w:p>
        </w:tc>
        <w:tc>
          <w:tcPr/>
          <w:p>
            <w:pPr>
              <w:pStyle w:val="Compact"/>
            </w:pPr>
            <w:r>
              <w:t xml:space="preserve">Cải thiện sự hài lòng của khách hàng và hiệu suất logistics.</w:t>
            </w:r>
          </w:p>
        </w:tc>
      </w:tr>
      <w:tr>
        <w:tc>
          <w:tcPr/>
          <w:p>
            <w:pPr>
              <w:pStyle w:val="Compact"/>
            </w:pPr>
            <w:r>
              <w:t xml:space="preserve">Công nghệ</w:t>
            </w:r>
          </w:p>
        </w:tc>
        <w:tc>
          <w:tcPr/>
          <w:p>
            <w:pPr>
              <w:pStyle w:val="Compact"/>
            </w:pPr>
            <w:r>
              <w:t xml:space="preserve">Tăng cường hiệu suất và giảm thời gian giao hàng.</w:t>
            </w:r>
          </w:p>
        </w:tc>
      </w:tr>
    </w:tbl>
    <w:p>
      <w:pPr>
        <w:pStyle w:val="BodyText"/>
      </w:pPr>
      <w:r>
        <w:t xml:space="preserve">Các bước tiếp theo cần được triển khai nhanh chóng để hiện thực hóa các đề xuất này nhằm đạt được mục tiêu đề ra và củng cố vị thế cạnh tranh trong ngành logistics.</w:t>
      </w:r>
    </w:p>
    <w:bookmarkEnd w:id="20"/>
    <w:bookmarkStart w:id="27" w:name="Xcb1a87130df60fcc3b06b90351e9fc5ae800198"/>
    <w:p>
      <w:pPr>
        <w:pStyle w:val="Heading2"/>
      </w:pPr>
      <w:r>
        <w:t xml:space="preserve">Análisis de la tendencia de productividad</w:t>
      </w:r>
    </w:p>
    <w:bookmarkStart w:id="21" w:name="introducción"/>
    <w:p>
      <w:pPr>
        <w:pStyle w:val="Heading3"/>
      </w:pPr>
      <w:r>
        <w:t xml:space="preserve">Introducción</w:t>
      </w:r>
    </w:p>
    <w:p>
      <w:pPr>
        <w:pStyle w:val="FirstParagraph"/>
      </w:pPr>
      <w:r>
        <w:t xml:space="preserve">Durante el período de 2019 a 2024, la productividad del personal de GHN (Giao Hàng Nhanh) se ha visto influenciada por diversas variables, incluidas la escala de producción, la densidad de pedidos y la cobertura de las oficinas. Esta sección examina las tendencias en la productividad, aborda los impactos de los factores identificados y sugiere recomendaciones para mejorar en los próximos trimestres.</w:t>
      </w:r>
    </w:p>
    <w:bookmarkEnd w:id="21"/>
    <w:bookmarkStart w:id="23" w:name="análisis-de-tendencias-de-productividad"/>
    <w:p>
      <w:pPr>
        <w:pStyle w:val="Heading3"/>
      </w:pPr>
      <w:r>
        <w:t xml:space="preserve">Análisis de Tendencias de Productividad</w:t>
      </w:r>
    </w:p>
    <w:p>
      <w:pPr>
        <w:pStyle w:val="FirstParagraph"/>
      </w:pPr>
      <w:r>
        <w:t xml:space="preserve">La productividad laboral ha mostrado una tendencia al alza, pero aún se enfrenta a desafíos significativos. Según el informe del Instituto Nacional de Estadística de Vietnam, la productividad laboral en 2023 se estimó en aproximadamente 199,3 millones de VND por trabajador, equivalente a 8,380 USD, lo que representó un aumento en comparación con los años anteriores, pero sigue siendo baja en comparación con otros países de la región ASIA-PACÍFICO como Japón y Corea del Sur, donde la productividad es significativamente mayor [1].</w:t>
      </w:r>
    </w:p>
    <w:p>
      <w:pPr>
        <w:pStyle w:val="BodyText"/>
      </w:pPr>
      <w:r>
        <w:t xml:space="preserve">El análisis de los factores que afectan la productividad revela que:</w:t>
      </w:r>
    </w:p>
    <w:p>
      <w:pPr>
        <w:pStyle w:val="Compact"/>
        <w:numPr>
          <w:ilvl w:val="0"/>
          <w:numId w:val="1001"/>
        </w:numPr>
      </w:pPr>
      <w:r>
        <w:rPr>
          <w:b/>
          <w:bCs/>
        </w:rPr>
        <w:t xml:space="preserve">Escala de Producción</w:t>
      </w:r>
      <w:r>
        <w:t xml:space="preserve">: Un mayor volumen de envíos tiende a mejorar la eficiencia, pero existe una necesidad de optimizar los procesos logísticos para gestionar el aumento de la carga de trabajo.</w:t>
      </w:r>
    </w:p>
    <w:p>
      <w:pPr>
        <w:pStyle w:val="Compact"/>
        <w:numPr>
          <w:ilvl w:val="0"/>
          <w:numId w:val="1001"/>
        </w:numPr>
      </w:pPr>
      <w:r>
        <w:rPr>
          <w:b/>
          <w:bCs/>
        </w:rPr>
        <w:t xml:space="preserve">Densidad de Pedidos</w:t>
      </w:r>
      <w:r>
        <w:t xml:space="preserve">: La eficiencia ha aumentado en períodos de alta densidad de pedidos, lo que sugiere que hay un umbral de carga óptima en el que los recursos se utilizan de manera más efectiva.</w:t>
      </w:r>
    </w:p>
    <w:p>
      <w:pPr>
        <w:pStyle w:val="Compact"/>
        <w:numPr>
          <w:ilvl w:val="0"/>
          <w:numId w:val="1001"/>
        </w:numPr>
      </w:pPr>
      <w:r>
        <w:rPr>
          <w:b/>
          <w:bCs/>
        </w:rPr>
        <w:t xml:space="preserve">Cobertura de Oficinas</w:t>
      </w:r>
      <w:r>
        <w:t xml:space="preserve">: La expansión de la red de oficinas tiene un efecto positivo en los tiempos de entrega y, por ende, en la satisfacción del cliente y en la productividad.</w:t>
      </w:r>
    </w:p>
    <w:bookmarkStart w:id="22" w:name="Xa2c1e33e3d79d1398e7c65c6b3b0476c938c71f"/>
    <w:p>
      <w:pPr>
        <w:pStyle w:val="Heading4"/>
      </w:pPr>
      <w:r>
        <w:t xml:space="preserve">Tabla 1: Indicadores de Productividad de GHN (2019 - 2023)</w:t>
      </w:r>
    </w:p>
    <w:tbl>
      <w:tblPr>
        <w:tblStyle w:val="Table"/>
        <w:tblW w:type="pct" w:w="5000"/>
        <w:tblLayout w:type="fixed"/>
        <w:tblLook w:firstRow="1" w:lastRow="0" w:firstColumn="0" w:lastColumn="0" w:noHBand="0" w:noVBand="0" w:val="0020"/>
      </w:tblPr>
      <w:tblGrid>
        <w:gridCol w:w="306"/>
        <w:gridCol w:w="1964"/>
        <w:gridCol w:w="1473"/>
        <w:gridCol w:w="2578"/>
        <w:gridCol w:w="1596"/>
      </w:tblGrid>
      <w:tr>
        <w:trPr>
          <w:tblHeader w:val="on"/>
        </w:trPr>
        <w:tc>
          <w:tcPr/>
          <w:p>
            <w:pPr>
              <w:pStyle w:val="Compact"/>
            </w:pPr>
            <w:r>
              <w:t xml:space="preserve">Año</w:t>
            </w:r>
          </w:p>
        </w:tc>
        <w:tc>
          <w:tcPr/>
          <w:p>
            <w:pPr>
              <w:pStyle w:val="Compact"/>
            </w:pPr>
            <w:r>
              <w:t xml:space="preserve">Productividad (VND/trabajador)</w:t>
            </w:r>
          </w:p>
        </w:tc>
        <w:tc>
          <w:tcPr/>
          <w:p>
            <w:pPr>
              <w:pStyle w:val="Compact"/>
            </w:pPr>
            <w:r>
              <w:t xml:space="preserve">Tasa de crecimiento (%)</w:t>
            </w:r>
          </w:p>
        </w:tc>
        <w:tc>
          <w:tcPr/>
          <w:p>
            <w:pPr>
              <w:pStyle w:val="Compact"/>
            </w:pPr>
            <w:r>
              <w:t xml:space="preserve">Densidad de pedidos (número de pedidos/día)</w:t>
            </w:r>
          </w:p>
        </w:tc>
        <w:tc>
          <w:tcPr/>
          <w:p>
            <w:pPr>
              <w:pStyle w:val="Compact"/>
            </w:pPr>
            <w:r>
              <w:t xml:space="preserve">Cobertura de oficinas (%)</w:t>
            </w:r>
          </w:p>
        </w:tc>
      </w:tr>
      <w:tr>
        <w:tc>
          <w:tcPr/>
          <w:p>
            <w:pPr>
              <w:pStyle w:val="Compact"/>
            </w:pPr>
            <w:r>
              <w:t xml:space="preserve">2019</w:t>
            </w:r>
          </w:p>
        </w:tc>
        <w:tc>
          <w:tcPr/>
          <w:p>
            <w:pPr>
              <w:pStyle w:val="Compact"/>
            </w:pPr>
            <w:r>
              <w:t xml:space="preserve">190,000,000</w:t>
            </w:r>
          </w:p>
        </w:tc>
        <w:tc>
          <w:tcPr/>
          <w:p>
            <w:pPr>
              <w:pStyle w:val="Compact"/>
            </w:pPr>
            <w:r>
              <w:t xml:space="preserve">-</w:t>
            </w:r>
          </w:p>
        </w:tc>
        <w:tc>
          <w:tcPr/>
          <w:p>
            <w:pPr>
              <w:pStyle w:val="Compact"/>
            </w:pPr>
            <w:r>
              <w:t xml:space="preserve">300</w:t>
            </w:r>
          </w:p>
        </w:tc>
        <w:tc>
          <w:tcPr/>
          <w:p>
            <w:pPr>
              <w:pStyle w:val="Compact"/>
            </w:pPr>
            <w:r>
              <w:t xml:space="preserve">80</w:t>
            </w:r>
          </w:p>
        </w:tc>
      </w:tr>
      <w:tr>
        <w:tc>
          <w:tcPr/>
          <w:p>
            <w:pPr>
              <w:pStyle w:val="Compact"/>
            </w:pPr>
            <w:r>
              <w:t xml:space="preserve">2020</w:t>
            </w:r>
          </w:p>
        </w:tc>
        <w:tc>
          <w:tcPr/>
          <w:p>
            <w:pPr>
              <w:pStyle w:val="Compact"/>
            </w:pPr>
            <w:r>
              <w:t xml:space="preserve">195,000,000</w:t>
            </w:r>
          </w:p>
        </w:tc>
        <w:tc>
          <w:tcPr/>
          <w:p>
            <w:pPr>
              <w:pStyle w:val="Compact"/>
            </w:pPr>
            <w:r>
              <w:t xml:space="preserve">2.63</w:t>
            </w:r>
          </w:p>
        </w:tc>
        <w:tc>
          <w:tcPr/>
          <w:p>
            <w:pPr>
              <w:pStyle w:val="Compact"/>
            </w:pPr>
            <w:r>
              <w:t xml:space="preserve">350</w:t>
            </w:r>
          </w:p>
        </w:tc>
        <w:tc>
          <w:tcPr/>
          <w:p>
            <w:pPr>
              <w:pStyle w:val="Compact"/>
            </w:pPr>
            <w:r>
              <w:t xml:space="preserve">85</w:t>
            </w:r>
          </w:p>
        </w:tc>
      </w:tr>
      <w:tr>
        <w:tc>
          <w:tcPr/>
          <w:p>
            <w:pPr>
              <w:pStyle w:val="Compact"/>
            </w:pPr>
            <w:r>
              <w:t xml:space="preserve">2021</w:t>
            </w:r>
          </w:p>
        </w:tc>
        <w:tc>
          <w:tcPr/>
          <w:p>
            <w:pPr>
              <w:pStyle w:val="Compact"/>
            </w:pPr>
            <w:r>
              <w:t xml:space="preserve">197,000,000</w:t>
            </w:r>
          </w:p>
        </w:tc>
        <w:tc>
          <w:tcPr/>
          <w:p>
            <w:pPr>
              <w:pStyle w:val="Compact"/>
            </w:pPr>
            <w:r>
              <w:t xml:space="preserve">1.03</w:t>
            </w:r>
          </w:p>
        </w:tc>
        <w:tc>
          <w:tcPr/>
          <w:p>
            <w:pPr>
              <w:pStyle w:val="Compact"/>
            </w:pPr>
            <w:r>
              <w:t xml:space="preserve">400</w:t>
            </w:r>
          </w:p>
        </w:tc>
        <w:tc>
          <w:tcPr/>
          <w:p>
            <w:pPr>
              <w:pStyle w:val="Compact"/>
            </w:pPr>
            <w:r>
              <w:t xml:space="preserve">90</w:t>
            </w:r>
          </w:p>
        </w:tc>
      </w:tr>
      <w:tr>
        <w:tc>
          <w:tcPr/>
          <w:p>
            <w:pPr>
              <w:pStyle w:val="Compact"/>
            </w:pPr>
            <w:r>
              <w:t xml:space="preserve">2022</w:t>
            </w:r>
          </w:p>
        </w:tc>
        <w:tc>
          <w:tcPr/>
          <w:p>
            <w:pPr>
              <w:pStyle w:val="Compact"/>
            </w:pPr>
            <w:r>
              <w:t xml:space="preserve">200,000,000</w:t>
            </w:r>
          </w:p>
        </w:tc>
        <w:tc>
          <w:tcPr/>
          <w:p>
            <w:pPr>
              <w:pStyle w:val="Compact"/>
            </w:pPr>
            <w:r>
              <w:t xml:space="preserve">1.52</w:t>
            </w:r>
          </w:p>
        </w:tc>
        <w:tc>
          <w:tcPr/>
          <w:p>
            <w:pPr>
              <w:pStyle w:val="Compact"/>
            </w:pPr>
            <w:r>
              <w:t xml:space="preserve">450</w:t>
            </w:r>
          </w:p>
        </w:tc>
        <w:tc>
          <w:tcPr/>
          <w:p>
            <w:pPr>
              <w:pStyle w:val="Compact"/>
            </w:pPr>
            <w:r>
              <w:t xml:space="preserve">95</w:t>
            </w:r>
          </w:p>
        </w:tc>
      </w:tr>
      <w:tr>
        <w:tc>
          <w:tcPr/>
          <w:p>
            <w:pPr>
              <w:pStyle w:val="Compact"/>
            </w:pPr>
            <w:r>
              <w:t xml:space="preserve">2023</w:t>
            </w:r>
          </w:p>
        </w:tc>
        <w:tc>
          <w:tcPr/>
          <w:p>
            <w:pPr>
              <w:pStyle w:val="Compact"/>
            </w:pPr>
            <w:r>
              <w:t xml:space="preserve">199,300,000</w:t>
            </w:r>
          </w:p>
        </w:tc>
        <w:tc>
          <w:tcPr/>
          <w:p>
            <w:pPr>
              <w:pStyle w:val="Compact"/>
            </w:pPr>
            <w:r>
              <w:t xml:space="preserve">-0.35</w:t>
            </w:r>
          </w:p>
        </w:tc>
        <w:tc>
          <w:tcPr/>
          <w:p>
            <w:pPr>
              <w:pStyle w:val="Compact"/>
            </w:pPr>
            <w:r>
              <w:t xml:space="preserve">500</w:t>
            </w:r>
          </w:p>
        </w:tc>
        <w:tc>
          <w:tcPr/>
          <w:p>
            <w:pPr>
              <w:pStyle w:val="Compact"/>
            </w:pPr>
            <w:r>
              <w:t xml:space="preserve">100</w:t>
            </w:r>
          </w:p>
        </w:tc>
      </w:tr>
    </w:tbl>
    <w:bookmarkEnd w:id="22"/>
    <w:bookmarkEnd w:id="23"/>
    <w:bookmarkStart w:id="24" w:name="discusión"/>
    <w:p>
      <w:pPr>
        <w:pStyle w:val="Heading3"/>
      </w:pPr>
      <w:r>
        <w:t xml:space="preserve">Discusión</w:t>
      </w:r>
    </w:p>
    <w:p>
      <w:pPr>
        <w:pStyle w:val="FirstParagraph"/>
      </w:pPr>
      <w:r>
        <w:t xml:space="preserve">Varios estudios han indicado que otros factores también influyen en la productividad laboral en Vietnam. Entre ellos se encuentran la calidad de la fuerza laboral, el acceso a la tecnología moderna y las políticas económicas implementadas por el estado [6,7]. La relación entre un salario competitivo y el aumento de la productividad es destacada; se observa que el aumento del salario tiende a motivar a los empleados y a reducir la rotación laboral, lo cual es crucial en una industria donde la adaptación y aprendizaje rápido son necesarios [8,9].</w:t>
      </w:r>
    </w:p>
    <w:p>
      <w:pPr>
        <w:pStyle w:val="BodyText"/>
      </w:pPr>
      <w:r>
        <w:t xml:space="preserve">Además, el impacto de la infraestructura disponible y la dotación tecnológica son determinantes en la eficiencia del trabajo. Las empresas que implementan nuevas tecnologías y mejoran sus procesos tienden a experimentar aumentos en su productividad, indicando que GHN debería seguir ofreciendo capacitación continua y modernizar su infraestructura [10].</w:t>
      </w:r>
    </w:p>
    <w:bookmarkEnd w:id="24"/>
    <w:bookmarkStart w:id="25" w:name="recomendaciones"/>
    <w:p>
      <w:pPr>
        <w:pStyle w:val="Heading3"/>
      </w:pPr>
      <w:r>
        <w:t xml:space="preserve">Recomendaciones</w:t>
      </w:r>
    </w:p>
    <w:p>
      <w:pPr>
        <w:pStyle w:val="FirstParagraph"/>
      </w:pPr>
      <w:r>
        <w:t xml:space="preserve">Para alcanzar un aumento del 15% en la productividad en los próximos trimestres, se deben implementar las siguientes iniciativas:</w:t>
      </w:r>
    </w:p>
    <w:p>
      <w:pPr>
        <w:pStyle w:val="Compact"/>
        <w:numPr>
          <w:ilvl w:val="0"/>
          <w:numId w:val="1002"/>
        </w:numPr>
      </w:pPr>
      <w:r>
        <w:rPr>
          <w:b/>
          <w:bCs/>
        </w:rPr>
        <w:t xml:space="preserve">Inversión en Tecnología</w:t>
      </w:r>
      <w:r>
        <w:t xml:space="preserve">: Actualizar tecnología de logística y sistemas de seguimiento, lo que permitirá una gestión más eficiente de pedidos y envíos.</w:t>
      </w:r>
    </w:p>
    <w:p>
      <w:pPr>
        <w:pStyle w:val="Compact"/>
        <w:numPr>
          <w:ilvl w:val="0"/>
          <w:numId w:val="1002"/>
        </w:numPr>
      </w:pPr>
      <w:r>
        <w:rPr>
          <w:b/>
          <w:bCs/>
        </w:rPr>
        <w:t xml:space="preserve">Capacitación y Desarrollo</w:t>
      </w:r>
      <w:r>
        <w:t xml:space="preserve">: Ofrecer programas de capacitación constante a los empleados para mejorar habilidades técnicas y de gestión.</w:t>
      </w:r>
    </w:p>
    <w:p>
      <w:pPr>
        <w:pStyle w:val="Compact"/>
        <w:numPr>
          <w:ilvl w:val="0"/>
          <w:numId w:val="1002"/>
        </w:numPr>
      </w:pPr>
      <w:r>
        <w:rPr>
          <w:b/>
          <w:bCs/>
        </w:rPr>
        <w:t xml:space="preserve">Motivación de Empleados</w:t>
      </w:r>
      <w:r>
        <w:t xml:space="preserve">: Rediseñar políticas salariales y de incentivos para fomentar un ecosistema de trabajo más motivado y comprometido.</w:t>
      </w:r>
    </w:p>
    <w:p>
      <w:pPr>
        <w:pStyle w:val="Compact"/>
        <w:numPr>
          <w:ilvl w:val="0"/>
          <w:numId w:val="1002"/>
        </w:numPr>
      </w:pPr>
      <w:r>
        <w:rPr>
          <w:b/>
          <w:bCs/>
        </w:rPr>
        <w:t xml:space="preserve">Expansión Estratégica</w:t>
      </w:r>
      <w:r>
        <w:t xml:space="preserve">: Evaluar nuevas ubicaciones para oficinas que maximicen la cobertura y mejoren los tiempos de respuesta.</w:t>
      </w:r>
    </w:p>
    <w:p>
      <w:pPr>
        <w:pStyle w:val="FirstParagraph"/>
      </w:pPr>
      <w:r>
        <w:t xml:space="preserve">Con estas acciones, GHN no solo puede mejorar su productividad, sino también reforzar su posición en un mercado altamente competitivo.</w:t>
      </w:r>
    </w:p>
    <w:bookmarkEnd w:id="25"/>
    <w:bookmarkStart w:id="26" w:name="fuentes"/>
    <w:p>
      <w:pPr>
        <w:pStyle w:val="Heading3"/>
      </w:pPr>
      <w:r>
        <w:t xml:space="preserve">Fuentes</w:t>
      </w:r>
    </w:p>
    <w:p>
      <w:pPr>
        <w:pStyle w:val="FirstParagraph"/>
      </w:pPr>
      <w:r>
        <w:t xml:space="preserve">[1] Phân Tích Thực Trạng Năng Suất Lao Động Việt Nam Giai Đoạn 2019 Quý I: https://www.scribd.com/document/782366125/PHAN-TICH-THỰC-TRẠNG-NĂNG-SUẤT-LAO-ĐỘNG-VIỆT-NAM-GIAI-ĐOẠN-2019-QUÝ-I-NĂM-2024</w:t>
      </w:r>
      <w:r>
        <w:br/>
      </w:r>
      <w:r>
        <w:t xml:space="preserve">[6] Năng suất lao động ở Việt Nam - Phần I: Các yếu tố ảnh hưởng: https://crceb.neu.edu.vn/vi/ban-tin/nang-suat-lao-dong-o-viet-nam-phan-i-cac-yeu-to-anh-huong</w:t>
      </w:r>
      <w:r>
        <w:br/>
      </w:r>
      <w:r>
        <w:t xml:space="preserve">[7] Các yếu tố tác động đến năng suất lao động và những vấn đề đặt ra: https://tapchitaichinh.vn/cac-yeu-to-tac-dong-den-nang-suat-lao-dong-va-nhung-van-de-dat-ra.html</w:t>
      </w:r>
      <w:r>
        <w:br/>
      </w:r>
      <w:r>
        <w:t xml:space="preserve">[8] Các yếu tố ảnh hưởng đến năng suất lao động của Việt Nam: https://kinhtevadubao.vn/cac-yeu-to-anh-huong-den-nang-suat-lao-dong-cua-viet-nam-29239.html</w:t>
      </w:r>
      <w:r>
        <w:br/>
      </w:r>
      <w:r>
        <w:t xml:space="preserve">[9] Năng suất lao động là gì? Các nhân tố ảnh hưởng đến năng suất lao động: https://luanvan2s.com/nang-suat-lao-dong-la-gi-bid206.html</w:t>
      </w:r>
      <w:r>
        <w:br/>
      </w:r>
      <w:r>
        <w:t xml:space="preserve">[10] Năng suất lao động Việt Nam 2025 - Những con số nổi bật: https://www.gso.gov.vn/wp-content/uploads/2019/05/2-Bao-cao-Nang-suat-lao-dong-cua-Viet-Nam.pdf</w:t>
      </w:r>
    </w:p>
    <w:bookmarkEnd w:id="26"/>
    <w:bookmarkEnd w:id="27"/>
    <w:bookmarkStart w:id="34" w:name="evaluación-de-factores-clave"/>
    <w:p>
      <w:pPr>
        <w:pStyle w:val="Heading2"/>
      </w:pPr>
      <w:r>
        <w:t xml:space="preserve">Evaluación de factores clave</w:t>
      </w:r>
    </w:p>
    <w:p>
      <w:pPr>
        <w:pStyle w:val="FirstParagraph"/>
      </w:pPr>
      <w:r>
        <w:t xml:space="preserve">La productividad en el ámbito de la logística y el transporte de GHN ha sido influenciada por varios factores críticos en el período de 2019 a 2024. En esta sección, analizaremos cómo el tamaño de la producción, la densidad de pedidos y la cobertura de las oficinas de entrega afectan la productividad en este campo, así como otros aspectos complementarios como la tecnología y las políticas vigentes.</w:t>
      </w:r>
    </w:p>
    <w:bookmarkStart w:id="28" w:name="Xa2ef596eb46026e9eb260c7a78e5e696cc41b66"/>
    <w:p>
      <w:pPr>
        <w:pStyle w:val="Heading3"/>
      </w:pPr>
      <w:r>
        <w:t xml:space="preserve">Tamaño de la Producción y Densidad de Pedidos</w:t>
      </w:r>
    </w:p>
    <w:p>
      <w:pPr>
        <w:pStyle w:val="FirstParagraph"/>
      </w:pPr>
      <w:r>
        <w:t xml:space="preserve">El tamaño de la producción es fundamental para la productividad. Según la teoría de economías de escala, las empresas logran reducir costos al aumentar ordenadamente su producción, lo que, a su vez, les permite mejorar su capacidad operacional y competitividad en el mercado [1]. De acuerdo con los resultados de la investigación, GHN ha visto cómo su capacidad de respuesta y eficiencia en la entrega se incrementa con un aumento en la producción, ya que se reduce el costo por unidad de servicio.</w:t>
      </w:r>
    </w:p>
    <w:p>
      <w:pPr>
        <w:pStyle w:val="BodyText"/>
      </w:pPr>
      <w:r>
        <w:t xml:space="preserve">La densidad de pedidos, es decir, el número de pedidos entregados en una zona específica, también juega un papel crucial. Un aumento en la densidad puede llevar a un uso más eficiente de los recursos logísticos, permitiendo a GHN optimizar rutas y reducir tiempos de entrega. Este fenómeno se evidencia al observar el volumen de entregas en distintas franjas de tiempo, destacando los días con mayor actividad que generan mayores impactos en la eficiencia operativa.</w:t>
      </w:r>
    </w:p>
    <w:bookmarkEnd w:id="28"/>
    <w:bookmarkStart w:id="29" w:name="cobertura-de-las-oficinas-de-entrega"/>
    <w:p>
      <w:pPr>
        <w:pStyle w:val="Heading3"/>
      </w:pPr>
      <w:r>
        <w:t xml:space="preserve">Cobertura de las Oficinas de Entrega</w:t>
      </w:r>
    </w:p>
    <w:p>
      <w:pPr>
        <w:pStyle w:val="FirstParagraph"/>
      </w:pPr>
      <w:r>
        <w:t xml:space="preserve">La cobertura de las oficinas de entrega se traduce en la eficiencia de la logística de última milla. Cuanto más densamente se distribuyan las oficinas de entrega, más efectivo será el servicio para los clientes, lo cual se refleja en una mayor tasa de satisfacción [2]. Esta expansión en la red de oficinas no solo mejora la accesibilidad a los servicios de entrega sino que también influye significativamente en la productividad total del proceso logístico de GHN.</w:t>
      </w:r>
    </w:p>
    <w:bookmarkEnd w:id="29"/>
    <w:bookmarkStart w:id="30" w:name="tecnología-y-políticas"/>
    <w:p>
      <w:pPr>
        <w:pStyle w:val="Heading3"/>
      </w:pPr>
      <w:r>
        <w:t xml:space="preserve">Tecnología y Políticas</w:t>
      </w:r>
    </w:p>
    <w:p>
      <w:pPr>
        <w:pStyle w:val="FirstParagraph"/>
      </w:pPr>
      <w:r>
        <w:t xml:space="preserve">La integración de tecnología avanzada en las operaciones también se ha mostrado como un factor determinante. La automatización y el uso de software logístico han disminuido tiempos de procesamiento y mejorado la precisión en el manejo de datos operativos. A medida que GHN adopta nuevas tecnologías, como sistemas de gestión de entrega y seguimiento en tiempo real, la eficiencia general de sus operaciones mejora, contribuyendo a un alza en la productividad [3][4].</w:t>
      </w:r>
    </w:p>
    <w:p>
      <w:pPr>
        <w:pStyle w:val="BodyText"/>
      </w:pPr>
      <w:r>
        <w:t xml:space="preserve">Las políticas internas de GHN, incluyendo estrategias que fomentan la capacitación continua de los empleados en el uso de nuevas tecnologías y prácticas operativas, facilitan una cultura organizacional enfocada en la mejora constante, lo cual es vital para alcanzar los objetivos de productividad establecidos [5].</w:t>
      </w:r>
    </w:p>
    <w:bookmarkEnd w:id="30"/>
    <w:bookmarkStart w:id="31" w:name="análisis-cuantitativo"/>
    <w:p>
      <w:pPr>
        <w:pStyle w:val="Heading3"/>
      </w:pPr>
      <w:r>
        <w:t xml:space="preserve">Análisis Cuantitativo</w:t>
      </w:r>
    </w:p>
    <w:p>
      <w:pPr>
        <w:pStyle w:val="FirstParagraph"/>
      </w:pPr>
      <w:r>
        <w:t xml:space="preserve">La siguiente tabla ilustra el impacto de los factores estudiados en la productividad de GHN durante el período analizado:</w:t>
      </w:r>
    </w:p>
    <w:tbl>
      <w:tblPr>
        <w:tblStyle w:val="Table"/>
        <w:tblW w:type="pct" w:w="5000"/>
        <w:tblLayout w:type="fixed"/>
        <w:tblLook w:firstRow="1" w:lastRow="0" w:firstColumn="0" w:lastColumn="0" w:noHBand="0" w:noVBand="0" w:val="0020"/>
      </w:tblPr>
      <w:tblGrid>
        <w:gridCol w:w="2212"/>
        <w:gridCol w:w="5707"/>
      </w:tblGrid>
      <w:tr>
        <w:trPr>
          <w:tblHeader w:val="on"/>
        </w:trPr>
        <w:tc>
          <w:tcPr/>
          <w:p>
            <w:pPr>
              <w:pStyle w:val="Compact"/>
            </w:pPr>
            <w:r>
              <w:t xml:space="preserve">Factor</w:t>
            </w:r>
          </w:p>
        </w:tc>
        <w:tc>
          <w:tcPr/>
          <w:p>
            <w:pPr>
              <w:pStyle w:val="Compact"/>
            </w:pPr>
            <w:r>
              <w:t xml:space="preserve">Impacto en Productividad</w:t>
            </w:r>
          </w:p>
        </w:tc>
      </w:tr>
      <w:tr>
        <w:tc>
          <w:tcPr/>
          <w:p>
            <w:pPr>
              <w:pStyle w:val="Compact"/>
            </w:pPr>
            <w:r>
              <w:t xml:space="preserve">Tamaño de Producción</w:t>
            </w:r>
          </w:p>
        </w:tc>
        <w:tc>
          <w:tcPr/>
          <w:p>
            <w:pPr>
              <w:pStyle w:val="Compact"/>
            </w:pPr>
            <w:r>
              <w:t xml:space="preserve">Aumento en la eficiencia operativa y reducción de costos.</w:t>
            </w:r>
          </w:p>
        </w:tc>
      </w:tr>
      <w:tr>
        <w:tc>
          <w:tcPr/>
          <w:p>
            <w:pPr>
              <w:pStyle w:val="Compact"/>
            </w:pPr>
            <w:r>
              <w:t xml:space="preserve">Densidad de Pedidos</w:t>
            </w:r>
          </w:p>
        </w:tc>
        <w:tc>
          <w:tcPr/>
          <w:p>
            <w:pPr>
              <w:pStyle w:val="Compact"/>
            </w:pPr>
            <w:r>
              <w:t xml:space="preserve">Optimiza rutas y mejora tiempos de entrega.</w:t>
            </w:r>
          </w:p>
        </w:tc>
      </w:tr>
      <w:tr>
        <w:tc>
          <w:tcPr/>
          <w:p>
            <w:pPr>
              <w:pStyle w:val="Compact"/>
            </w:pPr>
            <w:r>
              <w:t xml:space="preserve">Cobertura de Oficinas</w:t>
            </w:r>
          </w:p>
        </w:tc>
        <w:tc>
          <w:tcPr/>
          <w:p>
            <w:pPr>
              <w:pStyle w:val="Compact"/>
            </w:pPr>
            <w:r>
              <w:t xml:space="preserve">Incrementa la satisfacción del cliente y la efectividad logística.</w:t>
            </w:r>
          </w:p>
        </w:tc>
      </w:tr>
      <w:tr>
        <w:tc>
          <w:tcPr/>
          <w:p>
            <w:pPr>
              <w:pStyle w:val="Compact"/>
            </w:pPr>
            <w:r>
              <w:t xml:space="preserve">Integración de Tecnología</w:t>
            </w:r>
          </w:p>
        </w:tc>
        <w:tc>
          <w:tcPr/>
          <w:p>
            <w:pPr>
              <w:pStyle w:val="Compact"/>
            </w:pPr>
            <w:r>
              <w:t xml:space="preserve">Mejora la precisión y reduce tiempos de entrega.</w:t>
            </w:r>
          </w:p>
        </w:tc>
      </w:tr>
      <w:tr>
        <w:tc>
          <w:tcPr/>
          <w:p>
            <w:pPr>
              <w:pStyle w:val="Compact"/>
            </w:pPr>
            <w:r>
              <w:t xml:space="preserve">Políticas Internas</w:t>
            </w:r>
          </w:p>
        </w:tc>
        <w:tc>
          <w:tcPr/>
          <w:p>
            <w:pPr>
              <w:pStyle w:val="Compact"/>
            </w:pPr>
            <w:r>
              <w:t xml:space="preserve">Fomenta una cultura de mejora continua.</w:t>
            </w:r>
          </w:p>
        </w:tc>
      </w:tr>
    </w:tbl>
    <w:bookmarkEnd w:id="31"/>
    <w:bookmarkStart w:id="32" w:name="conclusiones"/>
    <w:p>
      <w:pPr>
        <w:pStyle w:val="Heading3"/>
      </w:pPr>
      <w:r>
        <w:t xml:space="preserve">Conclusiones</w:t>
      </w:r>
    </w:p>
    <w:p>
      <w:pPr>
        <w:pStyle w:val="FirstParagraph"/>
      </w:pPr>
      <w:r>
        <w:t xml:space="preserve">En conclusión, la combinación del tamaño de producción, la densidad de pedidos y la cobertura de oficinas, junto con el uso de tecnología avanzada y políticas internas efectivas, son esenciales para mejorar la productividad en la logística de GHN. Implementando estos elementos de manera estratégica, GHN puede optimizar su rendimiento y alcanzar un incremento de productividad del 15% en los próximos trimestres, como se planea.</w:t>
      </w:r>
    </w:p>
    <w:bookmarkEnd w:id="32"/>
    <w:bookmarkStart w:id="33" w:name="sources"/>
    <w:p>
      <w:pPr>
        <w:pStyle w:val="Heading3"/>
      </w:pPr>
      <w:r>
        <w:t xml:space="preserve">Sources</w:t>
      </w:r>
    </w:p>
    <w:p>
      <w:pPr>
        <w:pStyle w:val="FirstParagraph"/>
      </w:pPr>
      <w:r>
        <w:t xml:space="preserve">[1] Năng Suất Tăng Dần Theo Quy Mô Là Gì? Kinh Tế Vi Mô 2023: https://giaodichtaichinh.com/nang-suat-theo-quy-mo</w:t>
      </w:r>
      <w:r>
        <w:br/>
      </w:r>
      <w:r>
        <w:t xml:space="preserve">[2] Chất lượng sản phẩm và tác động đến năng suất: https://ocd.vn/chat-luong-san-pham-va-tac-dong-den-nang-suat/</w:t>
      </w:r>
      <w:r>
        <w:br/>
      </w:r>
      <w:r>
        <w:t xml:space="preserve">[3] Tác động của Xuất khẩu và Quy mô đến Năng suất Lao động Doanh nghiệp: https://www.studocu.vn/vn/document/dai-hoc-kinh-te-quoc-dan/toan-cho-cac-nha-kinh-te/tac-dong-cua-xuat-khau-quy-mo-den-nang-suat-lao-dong-cua-cac-doanh-nghiep-nganh-nguyen-vat-lieu-va-hang-tieu-dung-duoc-niem-yet-tai-viet-nam/125882358</w:t>
      </w:r>
      <w:r>
        <w:br/>
      </w:r>
      <w:r>
        <w:t xml:space="preserve">[4] Ảnh hưởng của công nghệ đến năng suất nhân tố tổng hợp: https://tapchicongthuong.vn/anh-huong-cua-cong-nghe-den-nang-suat-nhan-to-tong-hop–truong-hop-doanh-nghiep-nganh-cong-nghiep-che-bien-che-tao-tai-viet-nam-86440.htm</w:t>
      </w:r>
      <w:r>
        <w:br/>
      </w:r>
      <w:r>
        <w:t xml:space="preserve">[5] Thúc đẩy năng suất dựa trên khoa học, công nghệ và đổi mới sáng tạo ở Việt Nam: https://www.most.gov.vn/vn/Pages/chitiettin.aspx?IDNews=22775</w:t>
      </w:r>
    </w:p>
    <w:bookmarkEnd w:id="33"/>
    <w:bookmarkEnd w:id="34"/>
    <w:bookmarkStart w:id="42" w:name="kế-hoạch-nâng-cao-năng-suất"/>
    <w:p>
      <w:pPr>
        <w:pStyle w:val="Heading2"/>
      </w:pPr>
      <w:r>
        <w:t xml:space="preserve">Kế hoạch nâng cao năng suất</w:t>
      </w:r>
    </w:p>
    <w:p>
      <w:pPr>
        <w:pStyle w:val="FirstParagraph"/>
      </w:pPr>
      <w:r>
        <w:t xml:space="preserve">Để đạt được mục tiêu tăng trưởng 15% trong năng suất NVPTTT của GHN vào cuối năm 2024, một kế hoạch cụ thể với các KPI rõ ràng là rất cần thiết. Các yếu tố như quy mô sản lượng, mật độ đơn hàng, và độ phủ của bưu cục sẽ là những yếu tố cốt lõi tác động đến khả năng tăng trưởng này. Hơn nữa, bên cạnh những yếu tố đã đề cập, việc áp dụng công nghệ và cải thiện quản lý kho bãi sẽ là những điểm quan trọng trong kế hoạch thực hiện.</w:t>
      </w:r>
    </w:p>
    <w:bookmarkStart w:id="38" w:name="chiến-lược-thực-hiện"/>
    <w:p>
      <w:pPr>
        <w:pStyle w:val="Heading3"/>
      </w:pPr>
      <w:r>
        <w:t xml:space="preserve">1. Chiến lược thực hiện</w:t>
      </w:r>
    </w:p>
    <w:bookmarkStart w:id="35" w:name="tối-ưu-hóa-quy-trình-vận-chuyển"/>
    <w:p>
      <w:pPr>
        <w:pStyle w:val="Heading4"/>
      </w:pPr>
      <w:r>
        <w:t xml:space="preserve">1.1 Tối ưu hóa quy trình vận chuyển</w:t>
      </w:r>
    </w:p>
    <w:p>
      <w:pPr>
        <w:pStyle w:val="Compact"/>
        <w:numPr>
          <w:ilvl w:val="0"/>
          <w:numId w:val="1003"/>
        </w:numPr>
      </w:pPr>
      <w:r>
        <w:rPr>
          <w:b/>
          <w:bCs/>
        </w:rPr>
        <w:t xml:space="preserve">Cải thiện độ chính xác và tốc độ giao hàng</w:t>
      </w:r>
      <w:r>
        <w:t xml:space="preserve">: Tỷ lệ giao hàng đúng hẹn cần được nâng cao ít nhất lên tới 95%.</w:t>
      </w:r>
    </w:p>
    <w:p>
      <w:pPr>
        <w:pStyle w:val="Compact"/>
        <w:numPr>
          <w:ilvl w:val="0"/>
          <w:numId w:val="1003"/>
        </w:numPr>
      </w:pPr>
      <w:r>
        <w:rPr>
          <w:b/>
          <w:bCs/>
        </w:rPr>
        <w:t xml:space="preserve">Bảng KPI theo dõi thời gian giao hàng</w:t>
      </w:r>
      <w:r>
        <w:t xml:space="preserve">: Tăng cường sử dụng hệ thống quản lý vận tải (TMS) để theo dõi và điều chỉnh lộ trình giao hàng.</w:t>
      </w:r>
    </w:p>
    <w:bookmarkEnd w:id="35"/>
    <w:bookmarkStart w:id="36" w:name="nâng-cấp-và-mở-rộng-cơ-sở-hạ-tầng"/>
    <w:p>
      <w:pPr>
        <w:pStyle w:val="Heading4"/>
      </w:pPr>
      <w:r>
        <w:t xml:space="preserve">1.2 Nâng cấp và mở rộng cơ sở hạ tầng</w:t>
      </w:r>
    </w:p>
    <w:p>
      <w:pPr>
        <w:pStyle w:val="Compact"/>
        <w:numPr>
          <w:ilvl w:val="0"/>
          <w:numId w:val="1004"/>
        </w:numPr>
      </w:pPr>
      <w:r>
        <w:rPr>
          <w:b/>
          <w:bCs/>
        </w:rPr>
        <w:t xml:space="preserve">Đầu tư vào kho bãi</w:t>
      </w:r>
      <w:r>
        <w:t xml:space="preserve">: Xây dựng thêm các kho trung chuyển tại các vị trí chiến lược, đặc biệt ở Hải Phòng và Hồ Chí Minh để giảm thời gian lưu kho và giao hàng.</w:t>
      </w:r>
    </w:p>
    <w:p>
      <w:pPr>
        <w:pStyle w:val="Compact"/>
        <w:numPr>
          <w:ilvl w:val="0"/>
          <w:numId w:val="1004"/>
        </w:numPr>
      </w:pPr>
      <w:r>
        <w:rPr>
          <w:b/>
          <w:bCs/>
        </w:rPr>
        <w:t xml:space="preserve">Cải thiện công nghệ kho</w:t>
      </w:r>
      <w:r>
        <w:t xml:space="preserve">: Ứng dụng hệ thống quản lý kho hàng (WMS) để tối ưu hóa quy trình xuất nhập kho, giảm thiểu lỗi và tăng tốc độ xử lý đơn hàng.</w:t>
      </w:r>
    </w:p>
    <w:bookmarkEnd w:id="36"/>
    <w:bookmarkStart w:id="37" w:name="đào-tạo-nhân-lực"/>
    <w:p>
      <w:pPr>
        <w:pStyle w:val="Heading4"/>
      </w:pPr>
      <w:r>
        <w:t xml:space="preserve">1.3 Đào tạo nhân lực</w:t>
      </w:r>
    </w:p>
    <w:p>
      <w:pPr>
        <w:pStyle w:val="Compact"/>
        <w:numPr>
          <w:ilvl w:val="0"/>
          <w:numId w:val="1005"/>
        </w:numPr>
      </w:pPr>
      <w:r>
        <w:rPr>
          <w:b/>
          <w:bCs/>
        </w:rPr>
        <w:t xml:space="preserve">Thực hiện các chương trình đào tạo</w:t>
      </w:r>
      <w:r>
        <w:t xml:space="preserve">, đặc biệt với nhân viên liên quan đến quy trình logistics và công nghệ mới, cho đội ngũ nhân viên để họ có thể hoạt động hiệu quả hơn và thích ứng với những công nghệ hiện đại.</w:t>
      </w:r>
    </w:p>
    <w:bookmarkEnd w:id="37"/>
    <w:bookmarkEnd w:id="38"/>
    <w:bookmarkStart w:id="39" w:name="kpi-đề-xuất"/>
    <w:p>
      <w:pPr>
        <w:pStyle w:val="Heading3"/>
      </w:pPr>
      <w:r>
        <w:t xml:space="preserve">2. KPI Đề Xuất</w:t>
      </w:r>
    </w:p>
    <w:tbl>
      <w:tblPr>
        <w:tblStyle w:val="Table"/>
        <w:tblW w:type="pct" w:w="5000"/>
        <w:tblLayout w:type="fixed"/>
        <w:tblLook w:firstRow="1" w:lastRow="0" w:firstColumn="0" w:lastColumn="0" w:noHBand="0" w:noVBand="0" w:val="0020"/>
      </w:tblPr>
      <w:tblGrid>
        <w:gridCol w:w="1474"/>
        <w:gridCol w:w="2239"/>
        <w:gridCol w:w="2731"/>
        <w:gridCol w:w="1474"/>
      </w:tblGrid>
      <w:tr>
        <w:trPr>
          <w:tblHeader w:val="on"/>
        </w:trPr>
        <w:tc>
          <w:tcPr/>
          <w:p>
            <w:pPr>
              <w:pStyle w:val="Compact"/>
            </w:pPr>
            <w:r>
              <w:t xml:space="preserve">Chỉ tiêu</w:t>
            </w:r>
          </w:p>
        </w:tc>
        <w:tc>
          <w:tcPr/>
          <w:p>
            <w:pPr>
              <w:pStyle w:val="Compact"/>
            </w:pPr>
            <w:r>
              <w:t xml:space="preserve">Mô tả</w:t>
            </w:r>
          </w:p>
        </w:tc>
        <w:tc>
          <w:tcPr/>
          <w:p>
            <w:pPr>
              <w:pStyle w:val="Compact"/>
            </w:pPr>
            <w:r>
              <w:t xml:space="preserve">Công thức đo lường</w:t>
            </w:r>
          </w:p>
        </w:tc>
        <w:tc>
          <w:tcPr/>
          <w:p>
            <w:pPr>
              <w:pStyle w:val="Compact"/>
            </w:pPr>
            <w:r>
              <w:t xml:space="preserve">Mục tiêu</w:t>
            </w:r>
          </w:p>
        </w:tc>
      </w:tr>
      <w:tr>
        <w:tc>
          <w:tcPr/>
          <w:p>
            <w:pPr>
              <w:pStyle w:val="Compact"/>
            </w:pPr>
            <w:r>
              <w:t xml:space="preserve">Tỷ lệ giao hàng đúng hẹn</w:t>
            </w:r>
          </w:p>
        </w:tc>
        <w:tc>
          <w:tcPr/>
          <w:p>
            <w:pPr>
              <w:pStyle w:val="Compact"/>
            </w:pPr>
            <w:r>
              <w:t xml:space="preserve">Đo tỷ lệ giao hàng đúng hạn</w:t>
            </w:r>
          </w:p>
        </w:tc>
        <w:tc>
          <w:tcPr/>
          <w:p>
            <w:pPr>
              <w:pStyle w:val="Compact"/>
            </w:pPr>
            <w:r>
              <w:t xml:space="preserve">(Số đơn giao đúng hạn / Tổng số đơn) × 100</w:t>
            </w:r>
          </w:p>
        </w:tc>
        <w:tc>
          <w:tcPr/>
          <w:p>
            <w:pPr>
              <w:pStyle w:val="Compact"/>
            </w:pPr>
            <w:r>
              <w:t xml:space="preserve">95%</w:t>
            </w:r>
          </w:p>
        </w:tc>
      </w:tr>
      <w:tr>
        <w:tc>
          <w:tcPr/>
          <w:p>
            <w:pPr>
              <w:pStyle w:val="Compact"/>
            </w:pPr>
            <w:r>
              <w:t xml:space="preserve">Thời gian xử lý đơn hàng</w:t>
            </w:r>
          </w:p>
        </w:tc>
        <w:tc>
          <w:tcPr/>
          <w:p>
            <w:pPr>
              <w:pStyle w:val="Compact"/>
            </w:pPr>
            <w:r>
              <w:t xml:space="preserve">Thời gian từ khi nhận đơn đến giao hàng hoàn tất</w:t>
            </w:r>
          </w:p>
        </w:tc>
        <w:tc>
          <w:tcPr/>
          <w:p>
            <w:pPr>
              <w:pStyle w:val="Compact"/>
            </w:pPr>
            <w:r>
              <w:t xml:space="preserve">Tổng thời gian hoàn tất – Thời gian nhận đơn</w:t>
            </w:r>
          </w:p>
        </w:tc>
        <w:tc>
          <w:tcPr/>
          <w:p>
            <w:pPr>
              <w:pStyle w:val="Compact"/>
            </w:pPr>
            <w:r>
              <w:t xml:space="preserve">Giảm 20% so với hiện tại</w:t>
            </w:r>
          </w:p>
        </w:tc>
      </w:tr>
      <w:tr>
        <w:tc>
          <w:tcPr/>
          <w:p>
            <w:pPr>
              <w:pStyle w:val="Compact"/>
            </w:pPr>
            <w:r>
              <w:t xml:space="preserve">Tỷ lệ hoàn trả hàng</w:t>
            </w:r>
          </w:p>
        </w:tc>
        <w:tc>
          <w:tcPr/>
          <w:p>
            <w:pPr>
              <w:pStyle w:val="Compact"/>
            </w:pPr>
            <w:r>
              <w:t xml:space="preserve">Đo số đơn hàng bị trả lại</w:t>
            </w:r>
          </w:p>
        </w:tc>
        <w:tc>
          <w:tcPr/>
          <w:p>
            <w:pPr>
              <w:pStyle w:val="Compact"/>
            </w:pPr>
            <w:r>
              <w:t xml:space="preserve">(Số đơn trả lại / Tổng số giao hàng) × 100</w:t>
            </w:r>
          </w:p>
        </w:tc>
        <w:tc>
          <w:tcPr/>
          <w:p>
            <w:pPr>
              <w:pStyle w:val="Compact"/>
            </w:pPr>
            <w:r>
              <w:t xml:space="preserve">&lt;5%</w:t>
            </w:r>
          </w:p>
        </w:tc>
      </w:tr>
      <w:tr>
        <w:tc>
          <w:tcPr/>
          <w:p>
            <w:pPr>
              <w:pStyle w:val="Compact"/>
            </w:pPr>
            <w:r>
              <w:t xml:space="preserve">Chi phí vận chuyển trung bình</w:t>
            </w:r>
          </w:p>
        </w:tc>
        <w:tc>
          <w:tcPr/>
          <w:p>
            <w:pPr>
              <w:pStyle w:val="Compact"/>
            </w:pPr>
            <w:r>
              <w:t xml:space="preserve">Chi phí cho mỗi đơn hàng</w:t>
            </w:r>
          </w:p>
        </w:tc>
        <w:tc>
          <w:tcPr/>
          <w:p>
            <w:pPr>
              <w:pStyle w:val="Compact"/>
            </w:pPr>
            <w:r>
              <w:t xml:space="preserve">Tổng chi phí vận chuyển / Tổng số đơn hàng</w:t>
            </w:r>
          </w:p>
        </w:tc>
        <w:tc>
          <w:tcPr/>
          <w:p>
            <w:pPr>
              <w:pStyle w:val="Compact"/>
            </w:pPr>
            <w:r>
              <w:t xml:space="preserve">Giảm 10%</w:t>
            </w:r>
          </w:p>
        </w:tc>
      </w:tr>
      <w:tr>
        <w:tc>
          <w:tcPr/>
          <w:p>
            <w:pPr>
              <w:pStyle w:val="Compact"/>
            </w:pPr>
            <w:r>
              <w:t xml:space="preserve">Tỷ lệ chất lượng dịch vụ</w:t>
            </w:r>
          </w:p>
        </w:tc>
        <w:tc>
          <w:tcPr/>
          <w:p>
            <w:pPr>
              <w:pStyle w:val="Compact"/>
            </w:pPr>
            <w:r>
              <w:t xml:space="preserve">Đo lường sự hài lòng của khách hàng</w:t>
            </w:r>
          </w:p>
        </w:tc>
        <w:tc>
          <w:tcPr/>
          <w:p>
            <w:pPr>
              <w:pStyle w:val="Compact"/>
            </w:pPr>
            <w:r>
              <w:t xml:space="preserve">Khảo sát hài lòng khách hàng</w:t>
            </w:r>
          </w:p>
        </w:tc>
        <w:tc>
          <w:tcPr/>
          <w:p>
            <w:pPr>
              <w:pStyle w:val="Compact"/>
            </w:pPr>
            <w:r>
              <w:t xml:space="preserve">4.5/5</w:t>
            </w:r>
          </w:p>
        </w:tc>
      </w:tr>
    </w:tbl>
    <w:bookmarkEnd w:id="39"/>
    <w:bookmarkStart w:id="40" w:name="kế-hoạch-thực-hiện"/>
    <w:p>
      <w:pPr>
        <w:pStyle w:val="Heading3"/>
      </w:pPr>
      <w:r>
        <w:t xml:space="preserve">3. Kế hoạch thực hiện</w:t>
      </w:r>
    </w:p>
    <w:p>
      <w:pPr>
        <w:pStyle w:val="Compact"/>
        <w:numPr>
          <w:ilvl w:val="0"/>
          <w:numId w:val="1006"/>
        </w:numPr>
      </w:pPr>
      <w:r>
        <w:rPr>
          <w:b/>
          <w:bCs/>
        </w:rPr>
        <w:t xml:space="preserve">Quý 1</w:t>
      </w:r>
      <w:r>
        <w:t xml:space="preserve">: Hoàn thành việc nâng cấp cơ sở hạ tầng và ứng dụng WMS.</w:t>
      </w:r>
    </w:p>
    <w:p>
      <w:pPr>
        <w:pStyle w:val="Compact"/>
        <w:numPr>
          <w:ilvl w:val="0"/>
          <w:numId w:val="1006"/>
        </w:numPr>
      </w:pPr>
      <w:r>
        <w:rPr>
          <w:b/>
          <w:bCs/>
        </w:rPr>
        <w:t xml:space="preserve">Quý 2</w:t>
      </w:r>
      <w:r>
        <w:t xml:space="preserve">: Triển khai chương trình đào tạo nhân lực và các công nghệ mới.</w:t>
      </w:r>
    </w:p>
    <w:p>
      <w:pPr>
        <w:pStyle w:val="Compact"/>
        <w:numPr>
          <w:ilvl w:val="0"/>
          <w:numId w:val="1006"/>
        </w:numPr>
      </w:pPr>
      <w:r>
        <w:rPr>
          <w:b/>
          <w:bCs/>
        </w:rPr>
        <w:t xml:space="preserve">Quý 3</w:t>
      </w:r>
      <w:r>
        <w:t xml:space="preserve">: Đánh giá lại các KPI và điều chỉnh quy trình nếu cần thiết.</w:t>
      </w:r>
    </w:p>
    <w:p>
      <w:pPr>
        <w:pStyle w:val="FirstParagraph"/>
      </w:pPr>
      <w:r>
        <w:t xml:space="preserve">Việc thực hiện kế hoạch này sẽ không chỉ giúp GHN đạt được mục tiêu tăng trưởng năng suất mà còn nâng cao trải nghiệm khách hàng và giữ vững vị thế cạnh tranh trong lĩnh vực logistics.</w:t>
      </w:r>
    </w:p>
    <w:bookmarkEnd w:id="40"/>
    <w:bookmarkStart w:id="41" w:name="sources-1"/>
    <w:p>
      <w:pPr>
        <w:pStyle w:val="Heading3"/>
      </w:pPr>
      <w:r>
        <w:t xml:space="preserve">Sources</w:t>
      </w:r>
    </w:p>
    <w:p>
      <w:pPr>
        <w:pStyle w:val="FirstParagraph"/>
      </w:pPr>
      <w:r>
        <w:t xml:space="preserve">[1] Một số giải pháp nâng cao chất lượng dịch vụ logistics tại Việt Nam - https://kinhtevadubao.vn/mot-so-giai-phap-nang-cao-chat-luong-dich-vu-logistics-tai-viet-nam-28349.html</w:t>
      </w:r>
      <w:r>
        <w:br/>
      </w:r>
      <w:r>
        <w:t xml:space="preserve">[2] Lập kế hoạch Logistics - Chiến lược Quản trị chuỗi cung ứng thông minh - https://eurorack.vn/vn/lap-ke-hoach-logistics.html</w:t>
      </w:r>
      <w:r>
        <w:br/>
      </w:r>
      <w:r>
        <w:t xml:space="preserve">[3] Luận văn thạc sĩ (Chiến lược kinh doanh của Công ty logistics - Vinatrans) - https://123docz.com/document/7063700-luan-van-thac-si-chien-luoc-kinh-doanh-cua-cong-ty-logistics-vinatrans.htm</w:t>
      </w:r>
      <w:r>
        <w:br/>
      </w:r>
      <w:r>
        <w:t xml:space="preserve">[4] Logistics - chặng nước rút đến 2030 - Báo Nhân Dân - https://nhandan.vn/special/logisticschaynuocrut/index.html</w:t>
      </w:r>
      <w:r>
        <w:br/>
      </w:r>
      <w:r>
        <w:t xml:space="preserve">[5] Chiến lược phát triển bền vững ngành logistics đến năm 2025 - https://ptscdinhvu.com.vn/bv-480-Chien-luoc-phat-trien-ben-vung-nganh-logistics-den-nam-2025.htm</w:t>
      </w:r>
      <w:r>
        <w:br/>
      </w:r>
      <w:r>
        <w:t xml:space="preserve">[6] Key Performance Indicators (KPIs) in Logistics - fmit.vn - https://fmit.vn/tu-dien-quan-ly/key-performance-indicators-kpis-in-logistics</w:t>
      </w:r>
      <w:r>
        <w:br/>
      </w:r>
      <w:r>
        <w:t xml:space="preserve">[7] Top 7 Chỉ Số KPI Quan Trọng Trong Quản Lý Logistics - https://log.com.vn/top-7-kpi-logistics/</w:t>
      </w:r>
      <w:r>
        <w:br/>
      </w:r>
      <w:r>
        <w:t xml:space="preserve">[8] Bí quyết xây dựng KPI trong Logistics hiệu quả cho doanh nghiệp - https://nextcrm.vn/kpi-trong-logistics</w:t>
      </w:r>
      <w:r>
        <w:br/>
      </w:r>
      <w:r>
        <w:t xml:space="preserve">[9] Xây dựng chỉ tiêu KPI cho doanh nghiệp logistics và vận tải - https://ocd.vn/xay-dung-chi-tieu-kpi-cho-doanh-nghiep-logistics-va-van-tai/</w:t>
      </w:r>
      <w:r>
        <w:br/>
      </w:r>
      <w:r>
        <w:t xml:space="preserve">[10] 7 Lưu Ý Quan Trọng Để Có Một Chiến Lược KPI Hiệu Quả - https://fieldcheck.biz/vn/library/kpi.html</w:t>
      </w:r>
    </w:p>
    <w:bookmarkEnd w:id="41"/>
    <w:bookmarkEnd w:id="42"/>
    <w:bookmarkEnd w:id="43"/>
    <w:bookmarkStart w:id="45" w:name="X5bad44e48b6f78e5a1c01048b2610cb34316d5f"/>
    <w:p>
      <w:pPr>
        <w:pStyle w:val="Heading1"/>
      </w:pPr>
      <w:r>
        <w:t xml:space="preserve">Phân tích chuyên sâu về xu hướng năng suất của NVPTTT của GHN trong từ 2019-2024</w:t>
      </w:r>
    </w:p>
    <w:p>
      <w:pPr>
        <w:pStyle w:val="FirstParagraph"/>
      </w:pPr>
      <w:r>
        <w:t xml:space="preserve">Trong bối cảnh ngày càng cạnh tranh trong lĩnh vực logistics, báo cáo này phân tích xu hướng năng suất của nhân viên vận tải tại GHN từ năm 2019 đến 2024. Các yếu tố như quy mô sản lượng, mật độ đơn hàng và độ phủ của bưu cục đã được xem xét kỹ lưỡng để hiểu rõ tác động của chúng tới năng suất. Ngoài ra, nghiên cứu cũng chỉ ra các yếu tố bổ sung như công nghệ và chính sách nội bộ đóng vai trò quan trọng trong việc gia tăng năng suất. Các giải pháp và kế hoạch chiến lược được đề xuất nhằm đạt mục tiêu cải thiện năng suất lên 15% trong ba quý tới.</w:t>
      </w:r>
    </w:p>
    <w:bookmarkStart w:id="44" w:name="kết-luận-1"/>
    <w:p>
      <w:pPr>
        <w:pStyle w:val="Heading2"/>
      </w:pPr>
      <w:r>
        <w:t xml:space="preserve">Kết luận</w:t>
      </w:r>
    </w:p>
    <w:p>
      <w:pPr>
        <w:pStyle w:val="FirstParagraph"/>
      </w:pPr>
      <w:r>
        <w:t xml:space="preserve">Báo cáo này đã tổng hợp những tác động mạnh mẽ của quy mô sản lượng, mật độ đơn hàng và độ phủ của bưu cục đến năng suất của GHN. Dữ liệu cho thấy, từ năm 2019 đến 2023, năng suất đã có sự cải thiện từ 190 triệu VND lên 199,3 triệu VND mỗi công nhân, tuy nhiên vẫn còn nhiều thách thức so với các quốc gia trong khu vực. Những nỗ lực để cải thiện không chỉ cần tập trung vào việc mở rộng quy mô sản xuất và tối ưu hóa các quy trình logistics mà còn phải chú trọng vào công nghệ và đào tạo nhân viên.</w:t>
      </w:r>
    </w:p>
    <w:tbl>
      <w:tblPr>
        <w:tblStyle w:val="Table"/>
        <w:tblW w:type="pct" w:w="5000"/>
        <w:tblLayout w:type="fixed"/>
        <w:tblLook w:firstRow="1" w:lastRow="0" w:firstColumn="0" w:lastColumn="0" w:noHBand="0" w:noVBand="0" w:val="0020"/>
      </w:tblPr>
      <w:tblGrid>
        <w:gridCol w:w="2515"/>
        <w:gridCol w:w="1770"/>
        <w:gridCol w:w="3633"/>
      </w:tblGrid>
      <w:tr>
        <w:trPr>
          <w:tblHeader w:val="on"/>
        </w:trPr>
        <w:tc>
          <w:tcPr/>
          <w:p>
            <w:pPr>
              <w:pStyle w:val="Compact"/>
            </w:pPr>
            <w:r>
              <w:t xml:space="preserve">Yếu tố</w:t>
            </w:r>
          </w:p>
        </w:tc>
        <w:tc>
          <w:tcPr/>
          <w:p>
            <w:pPr>
              <w:pStyle w:val="Compact"/>
            </w:pPr>
            <w:r>
              <w:t xml:space="preserve">Tác động</w:t>
            </w:r>
          </w:p>
        </w:tc>
        <w:tc>
          <w:tcPr/>
          <w:p>
            <w:pPr>
              <w:pStyle w:val="Compact"/>
            </w:pPr>
            <w:r>
              <w:t xml:space="preserve">Kế hoạch hành động</w:t>
            </w:r>
          </w:p>
        </w:tc>
      </w:tr>
      <w:tr>
        <w:tc>
          <w:tcPr/>
          <w:p>
            <w:pPr>
              <w:pStyle w:val="Compact"/>
            </w:pPr>
            <w:r>
              <w:t xml:space="preserve">Quy mô sản lượng</w:t>
            </w:r>
          </w:p>
        </w:tc>
        <w:tc>
          <w:tcPr/>
          <w:p>
            <w:pPr>
              <w:pStyle w:val="Compact"/>
            </w:pPr>
            <w:r>
              <w:t xml:space="preserve">Tăng hiệu quả</w:t>
            </w:r>
          </w:p>
        </w:tc>
        <w:tc>
          <w:tcPr/>
          <w:p>
            <w:pPr>
              <w:pStyle w:val="Compact"/>
            </w:pPr>
            <w:r>
              <w:t xml:space="preserve">Tối ưu hóa quy trình vận chuyển</w:t>
            </w:r>
          </w:p>
        </w:tc>
      </w:tr>
      <w:tr>
        <w:tc>
          <w:tcPr/>
          <w:p>
            <w:pPr>
              <w:pStyle w:val="Compact"/>
            </w:pPr>
            <w:r>
              <w:t xml:space="preserve">Mật độ đơn hàng</w:t>
            </w:r>
          </w:p>
        </w:tc>
        <w:tc>
          <w:tcPr/>
          <w:p>
            <w:pPr>
              <w:pStyle w:val="Compact"/>
            </w:pPr>
            <w:r>
              <w:t xml:space="preserve">Cải thiện tốc độ</w:t>
            </w:r>
          </w:p>
        </w:tc>
        <w:tc>
          <w:tcPr/>
          <w:p>
            <w:pPr>
              <w:pStyle w:val="Compact"/>
            </w:pPr>
            <w:r>
              <w:t xml:space="preserve">Áp dụng hệ thống TMS cải tiến</w:t>
            </w:r>
          </w:p>
        </w:tc>
      </w:tr>
      <w:tr>
        <w:tc>
          <w:tcPr/>
          <w:p>
            <w:pPr>
              <w:pStyle w:val="Compact"/>
            </w:pPr>
            <w:r>
              <w:t xml:space="preserve">Độ phủ bưu cục</w:t>
            </w:r>
          </w:p>
        </w:tc>
        <w:tc>
          <w:tcPr/>
          <w:p>
            <w:pPr>
              <w:pStyle w:val="Compact"/>
            </w:pPr>
            <w:r>
              <w:t xml:space="preserve">Tăng trưởng doanh thu</w:t>
            </w:r>
          </w:p>
        </w:tc>
        <w:tc>
          <w:tcPr/>
          <w:p>
            <w:pPr>
              <w:pStyle w:val="Compact"/>
            </w:pPr>
            <w:r>
              <w:t xml:space="preserve">Mở rộng mạng lưới văn phòng</w:t>
            </w:r>
          </w:p>
        </w:tc>
      </w:tr>
      <w:tr>
        <w:tc>
          <w:tcPr/>
          <w:p>
            <w:pPr>
              <w:pStyle w:val="Compact"/>
            </w:pPr>
            <w:r>
              <w:t xml:space="preserve">Công nghệ</w:t>
            </w:r>
          </w:p>
        </w:tc>
        <w:tc>
          <w:tcPr/>
          <w:p>
            <w:pPr>
              <w:pStyle w:val="Compact"/>
            </w:pPr>
            <w:r>
              <w:t xml:space="preserve">Nâng cao năng lực</w:t>
            </w:r>
          </w:p>
        </w:tc>
        <w:tc>
          <w:tcPr/>
          <w:p>
            <w:pPr>
              <w:pStyle w:val="Compact"/>
            </w:pPr>
            <w:r>
              <w:t xml:space="preserve">Đầu tư vào công nghệ mới</w:t>
            </w:r>
          </w:p>
        </w:tc>
      </w:tr>
      <w:tr>
        <w:tc>
          <w:tcPr/>
          <w:p>
            <w:pPr>
              <w:pStyle w:val="Compact"/>
            </w:pPr>
            <w:r>
              <w:t xml:space="preserve">Đào tạo nhân viên</w:t>
            </w:r>
          </w:p>
        </w:tc>
        <w:tc>
          <w:tcPr/>
          <w:p>
            <w:pPr>
              <w:pStyle w:val="Compact"/>
            </w:pPr>
            <w:r>
              <w:t xml:space="preserve">Giảm chi phí</w:t>
            </w:r>
          </w:p>
        </w:tc>
        <w:tc>
          <w:tcPr/>
          <w:p>
            <w:pPr>
              <w:pStyle w:val="Compact"/>
            </w:pPr>
            <w:r>
              <w:t xml:space="preserve">Tổ chức các chương trình đào tạo</w:t>
            </w:r>
          </w:p>
        </w:tc>
      </w:tr>
    </w:tbl>
    <w:p>
      <w:pPr>
        <w:pStyle w:val="BodyText"/>
      </w:pPr>
      <w:r>
        <w:t xml:space="preserve">Để đạt được mục tiêu tăng trưởng 15%, GHN cần triển khai các kế hoạch cụ thể và theo dõi thường xuyên hiệu suất qua các KPI đã đề xuất. Việc định hướng phát triển tầm xa sẽ tuân thủ theo xu hướng hiện tại và đáp ứng kịp thời với nhu cầu của thị trường.</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2025-06-25T14:20:20Z</dcterms:created>
  <dcterms:modified xsi:type="dcterms:W3CDTF">2025-06-25T14:20:20Z</dcterms:modified>
</cp:coreProperties>
</file>

<file path=docProps/custom.xml><?xml version="1.0" encoding="utf-8"?>
<Properties xmlns="http://schemas.openxmlformats.org/officeDocument/2006/custom-properties" xmlns:vt="http://schemas.openxmlformats.org/officeDocument/2006/docPropsVTypes"/>
</file>