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Accelerating GHN Market Development Staff Productivity by 15% in Three Quarters: Strategic Plan and Execution Roadmap</w:t>
      </w:r>
    </w:p>
    <w:p>
      <w:pPr>
        <w:pStyle w:val="Compact"/>
        <w:numPr>
          <w:ilvl w:val="0"/>
          <w:numId w:val="1001"/>
        </w:numPr>
      </w:pPr>
      <w:hyperlink w:anchor="Xe3c42061448d99815c885673472673a065b400b">
        <w:r>
          <w:rPr>
            <w:rStyle w:val="Hyperlink"/>
          </w:rPr>
          <w:t xml:space="preserve">I. Executive Summary: Kế hoạch tăng năng suất NV Phát Triển Thị Trường GHN thêm 15% trong 3 quý</w:t>
        </w:r>
      </w:hyperlink>
    </w:p>
    <w:p>
      <w:pPr>
        <w:pStyle w:val="Compact"/>
        <w:numPr>
          <w:ilvl w:val="0"/>
          <w:numId w:val="1001"/>
        </w:numPr>
      </w:pPr>
      <w:hyperlink w:anchor="Xebcbec2f5ab62225a4901a751762be325ae720e">
        <w:r>
          <w:rPr>
            <w:rStyle w:val="Hyperlink"/>
          </w:rPr>
          <w:t xml:space="preserve">II. Context &amp; Quantified Problem Statement: Xu hướng năng suất, tác động tài chính/chỉ số ngành</w:t>
        </w:r>
      </w:hyperlink>
    </w:p>
    <w:p>
      <w:pPr>
        <w:pStyle w:val="Compact"/>
        <w:numPr>
          <w:ilvl w:val="0"/>
          <w:numId w:val="1001"/>
        </w:numPr>
      </w:pPr>
      <w:hyperlink w:anchor="X5319f549709e8b49f3b6b75c833043315faea01">
        <w:r>
          <w:rPr>
            <w:rStyle w:val="Hyperlink"/>
          </w:rPr>
          <w:t xml:space="preserve">III. Current State Analysis &amp; Competitive Benchmarking: Nội lực, mật độ, độ phủ bưu cục, vùng miền</w:t>
        </w:r>
      </w:hyperlink>
    </w:p>
    <w:p>
      <w:pPr>
        <w:pStyle w:val="Compact"/>
        <w:numPr>
          <w:ilvl w:val="0"/>
          <w:numId w:val="1001"/>
        </w:numPr>
      </w:pPr>
      <w:hyperlink w:anchor="X03ddfc84b18f171f7a89dee6ed8917b5e9e0e99">
        <w:r>
          <w:rPr>
            <w:rStyle w:val="Hyperlink"/>
          </w:rPr>
          <w:t xml:space="preserve">IV. Root Cause Analysis: Các yếu tố trọng yếu &amp; thứ cấp ảnh hưởng tới năng suất</w:t>
        </w:r>
      </w:hyperlink>
    </w:p>
    <w:p>
      <w:pPr>
        <w:pStyle w:val="Compact"/>
        <w:numPr>
          <w:ilvl w:val="0"/>
          <w:numId w:val="1001"/>
        </w:numPr>
      </w:pPr>
      <w:hyperlink w:anchor="X7f832e6d0a7e7082f903d151ee4a1fdf236b36e">
        <w:r>
          <w:rPr>
            <w:rStyle w:val="Hyperlink"/>
          </w:rPr>
          <w:t xml:space="preserve">V. Solution Framework &amp; Recommendations: Giải pháp theo nhóm (Quick win, dài hạn), các lựa chọn thay thế</w:t>
        </w:r>
      </w:hyperlink>
    </w:p>
    <w:p>
      <w:pPr>
        <w:pStyle w:val="Compact"/>
        <w:numPr>
          <w:ilvl w:val="0"/>
          <w:numId w:val="1001"/>
        </w:numPr>
      </w:pPr>
      <w:hyperlink w:anchor="Xf061244d625ffdf633458fb8b00f1fbe0f011a3">
        <w:r>
          <w:rPr>
            <w:rStyle w:val="Hyperlink"/>
          </w:rPr>
          <w:t xml:space="preserve">VI. Action Plan, Budget &amp; ROI Analysis: Lộ trình, chi phí, KPI 3 quý tới, tính toán hiệu quả</w:t>
        </w:r>
      </w:hyperlink>
    </w:p>
    <w:p>
      <w:pPr>
        <w:pStyle w:val="Compact"/>
        <w:numPr>
          <w:ilvl w:val="0"/>
          <w:numId w:val="1001"/>
        </w:numPr>
      </w:pPr>
      <w:hyperlink w:anchor="X53b281da1a50ff816e194d375f2e5c4ed7a101e">
        <w:r>
          <w:rPr>
            <w:rStyle w:val="Hyperlink"/>
          </w:rPr>
          <w:t xml:space="preserve">VII. Governance, KPIs &amp; Risk Management: Quản trị, chịu trách nhiệm, rủi ro</w:t>
        </w:r>
      </w:hyperlink>
    </w:p>
    <w:p>
      <w:pPr>
        <w:pStyle w:val="Compact"/>
        <w:numPr>
          <w:ilvl w:val="0"/>
          <w:numId w:val="1001"/>
        </w:numPr>
      </w:pPr>
      <w:hyperlink w:anchor="X0e4a6b030ec7177988875fc862d390c2060b291">
        <w:r>
          <w:rPr>
            <w:rStyle w:val="Hyperlink"/>
          </w:rPr>
          <w:t xml:space="preserve">VIII. Conclusion &amp; Strategic Recommendations: Kết luận và nhấn mạnh Call-to-action</w:t>
        </w:r>
      </w:hyperlink>
    </w:p>
    <w:bookmarkStart w:id="24" w:name="X2e14b762eb5d10886eec2dce1082e13475275ae"/>
    <w:p>
      <w:pPr>
        <w:pStyle w:val="Heading2"/>
      </w:pPr>
      <w:r>
        <w:t xml:space="preserve">I. Executive Summary: Kế hoạch tăng năng suất NV Phát Triển Thị Trường GHN thêm 15% trong 3 quý</w:t>
      </w:r>
    </w:p>
    <w:p>
      <w:pPr>
        <w:pStyle w:val="FirstParagraph"/>
      </w:pPr>
      <w:r>
        <w:rPr>
          <w:b/>
          <w:bCs/>
        </w:rPr>
        <w:t xml:space="preserve">Tóm tắt chiến lược:</w:t>
      </w:r>
      <w:r>
        <w:t xml:space="preserve"> </w:t>
      </w:r>
      <w:r>
        <w:t xml:space="preserve">Công ty GHN đặt mục tiêu tăng năng suất NV Phát Triển Thị Trường (NVPTTTM/shipper) thêm 15% trong 3 quý tiếp theo, nhằm tối ưu hóa lợi nhuận, củng cố vị thế cạnh tranh và đáp ứng nhu cầu tăng trưởng nhanh của thị trường thương mại điện tử Việt Nam.</w:t>
      </w:r>
    </w:p>
    <w:bookmarkStart w:id="20" w:name="Xf395710a9665c0eda0d33baa32ae82d462e0d2a"/>
    <w:p>
      <w:pPr>
        <w:pStyle w:val="Heading3"/>
      </w:pPr>
      <w:r>
        <w:t xml:space="preserve">1. Impact – Cơ hội tài chính (Financial Opportunity)</w:t>
      </w:r>
    </w:p>
    <w:p>
      <w:pPr>
        <w:pStyle w:val="Compact"/>
        <w:numPr>
          <w:ilvl w:val="0"/>
          <w:numId w:val="1002"/>
        </w:numPr>
      </w:pPr>
      <w:r>
        <w:rPr>
          <w:b/>
          <w:bCs/>
        </w:rPr>
        <w:t xml:space="preserve">Tổng doanh thu hiện tại (3 quý gần nhất):</w:t>
      </w:r>
      <w:r>
        <w:t xml:space="preserve"> </w:t>
      </w:r>
      <w:r>
        <w:t xml:space="preserve">382.5 triệu VND mỗi shipper/năm, với tổng doanh thu đạt mức 266 triệu VND cho toàn đội ngũ NV phát triển thị trường [1].</w:t>
      </w:r>
    </w:p>
    <w:p>
      <w:pPr>
        <w:pStyle w:val="Compact"/>
        <w:numPr>
          <w:ilvl w:val="0"/>
          <w:numId w:val="1002"/>
        </w:numPr>
      </w:pPr>
      <w:r>
        <w:rPr>
          <w:b/>
          <w:bCs/>
        </w:rPr>
        <w:t xml:space="preserve">Nếu tăng thêm 15% năng suất:</w:t>
      </w:r>
      <w:r>
        <w:t xml:space="preserve"> </w:t>
      </w:r>
      <w:r>
        <w:t xml:space="preserve">Doanh thu hàng quý có thể tăng tương ứng, ước tính thêm 39,9 triệu VND mỗi shipper và tạo thêm tổng cộng ~40 tỷ VND/năm trên toàn lực lượng giao hàng [1].</w:t>
      </w:r>
    </w:p>
    <w:p>
      <w:pPr>
        <w:pStyle w:val="Compact"/>
        <w:numPr>
          <w:ilvl w:val="0"/>
          <w:numId w:val="1002"/>
        </w:numPr>
      </w:pPr>
      <w:r>
        <w:rPr>
          <w:b/>
          <w:bCs/>
        </w:rPr>
        <w:t xml:space="preserve">Năng suất bình quân:</w:t>
      </w:r>
      <w:r>
        <w:t xml:space="preserve"> </w:t>
      </w:r>
      <w:r>
        <w:t xml:space="preserve">824 đơn/shipper/tháng; sau khi tăng trưởng sẽ đạt khoảng 948 đơn/shipper/tháng (tăng ~124 đơn/shipper/tháng) [1].</w:t>
      </w:r>
    </w:p>
    <w:p>
      <w:pPr>
        <w:pStyle w:val="Compact"/>
        <w:numPr>
          <w:ilvl w:val="0"/>
          <w:numId w:val="1002"/>
        </w:numPr>
      </w:pPr>
      <w:r>
        <w:rPr>
          <w:b/>
          <w:bCs/>
        </w:rPr>
        <w:t xml:space="preserve">Tác động trực tiếp:</w:t>
      </w:r>
      <w:r>
        <w:t xml:space="preserve"> </w:t>
      </w:r>
      <w:r>
        <w:t xml:space="preserve">Tăng doanh thu, giảm chi phí cố định/đơn, cải thiện biên lợi nhuận.</w:t>
      </w:r>
    </w:p>
    <w:tbl>
      <w:tblPr>
        <w:tblStyle w:val="FigureTable"/>
        <w:tblW w:type="auto" w:w="0"/>
        <w:jc w:val="center"/>
        <w:tblLook w:firstRow="0" w:lastRow="0" w:firstColumn="0" w:lastColumn="0"/>
      </w:tblPr>
      <w:tblGrid>
        <w:gridCol w:w="7920"/>
      </w:tblGrid>
      <w:tr>
        <w:tc>
          <w:tcPr/>
          <w:p>
            <w:pPr>
              <w:pStyle w:val="Compact"/>
              <w:jc w:val="center"/>
            </w:pPr>
            <w:r>
              <w:t xml:space="preserve">Biểu đồ doanh thu &amp; năng suất ghép 3 quý</w:t>
            </w:r>
          </w:p>
        </w:tc>
      </w:tr>
    </w:tbl>
    <w:p>
      <w:pPr>
        <w:pStyle w:val="ImageCaption"/>
      </w:pPr>
      <w:r>
        <w:t xml:space="preserve">Biểu đồ doanh thu &amp; năng suất ghép 3 quý</w:t>
      </w:r>
    </w:p>
    <w:bookmarkEnd w:id="20"/>
    <w:bookmarkStart w:id="21" w:name="X46cf4ceb0f27efa088502f8aa2cd9962772f7f3"/>
    <w:p>
      <w:pPr>
        <w:pStyle w:val="Heading3"/>
      </w:pPr>
      <w:r>
        <w:t xml:space="preserve">2. The Ask – Ngân sách và nguồn lực cần phê duyệt</w:t>
      </w:r>
    </w:p>
    <w:p>
      <w:pPr>
        <w:pStyle w:val="Compact"/>
        <w:numPr>
          <w:ilvl w:val="0"/>
          <w:numId w:val="1003"/>
        </w:numPr>
      </w:pPr>
      <w:r>
        <w:rPr>
          <w:b/>
          <w:bCs/>
        </w:rPr>
        <w:t xml:space="preserve">Ngân sách đầu tư:</w:t>
      </w:r>
      <w:r>
        <w:t xml:space="preserve"> </w:t>
      </w:r>
      <w:r>
        <w:t xml:space="preserve">Dựa trên các chương trình tương tự trong ngành và trong nội bộ công ty, ngân sách cần phê duyệt để đạt mục tiêu tăng 15% năng suất trong 3 quý là</w:t>
      </w:r>
      <w:r>
        <w:t xml:space="preserve"> </w:t>
      </w:r>
      <w:r>
        <w:rPr>
          <w:b/>
          <w:bCs/>
        </w:rPr>
        <w:t xml:space="preserve">3,5 – 4 tỷ VND</w:t>
      </w:r>
      <w:r>
        <w:t xml:space="preserve">, bao gồm các khoản sau:</w:t>
      </w:r>
    </w:p>
    <w:p>
      <w:pPr>
        <w:pStyle w:val="Compact"/>
        <w:numPr>
          <w:ilvl w:val="1"/>
          <w:numId w:val="1004"/>
        </w:numPr>
      </w:pPr>
      <w:r>
        <w:t xml:space="preserve">Đào tạo kỹ năng, tối ưu hóa quy trình, phần thưởng hiệu suất.</w:t>
      </w:r>
    </w:p>
    <w:p>
      <w:pPr>
        <w:pStyle w:val="Compact"/>
        <w:numPr>
          <w:ilvl w:val="1"/>
          <w:numId w:val="1004"/>
        </w:numPr>
      </w:pPr>
      <w:r>
        <w:t xml:space="preserve">Đầu tư công nghệ hỗ trợ thao tác thông minh, tự động hóa phân phối tuyến.</w:t>
      </w:r>
    </w:p>
    <w:p>
      <w:pPr>
        <w:pStyle w:val="Compact"/>
        <w:numPr>
          <w:ilvl w:val="0"/>
          <w:numId w:val="1003"/>
        </w:numPr>
      </w:pPr>
      <w:r>
        <w:rPr>
          <w:b/>
          <w:bCs/>
        </w:rPr>
        <w:t xml:space="preserve">Nguồn lực chủ chốt:</w:t>
      </w:r>
      <w:r>
        <w:t xml:space="preserve"> </w:t>
      </w:r>
      <w:r>
        <w:t xml:space="preserve">Khoảng 35 – 40 nhân sự chuyên trách (đào tạo, vận hành, giám sát) và sự tham gia của toàn đội ngũ quản lý khu vực [2].</w:t>
      </w:r>
    </w:p>
    <w:tbl>
      <w:tblPr>
        <w:tblStyle w:val="FigureTable"/>
        <w:tblW w:type="auto" w:w="0"/>
        <w:jc w:val="center"/>
        <w:tblLook w:firstRow="0" w:lastRow="0" w:firstColumn="0" w:lastColumn="0"/>
      </w:tblPr>
      <w:tblGrid>
        <w:gridCol w:w="7920"/>
      </w:tblGrid>
      <w:tr>
        <w:tc>
          <w:tcPr/>
          <w:p>
            <w:pPr>
              <w:pStyle w:val="Compact"/>
              <w:jc w:val="center"/>
            </w:pPr>
            <w:r>
              <w:t xml:space="preserve">Bảng tham chiếu ngân sách &amp; nhân lực các campaign tăng năng suất</w:t>
            </w:r>
          </w:p>
        </w:tc>
      </w:tr>
    </w:tbl>
    <w:p>
      <w:pPr>
        <w:pStyle w:val="ImageCaption"/>
      </w:pPr>
      <w:r>
        <w:t xml:space="preserve">Bảng tham chiếu ngân sách &amp; nhân lực các campaign tăng năng suất</w:t>
      </w:r>
    </w:p>
    <w:bookmarkEnd w:id="21"/>
    <w:bookmarkStart w:id="22" w:name="X6f0ccee7fd24c064881c5f30c29f1bb82b26457"/>
    <w:p>
      <w:pPr>
        <w:pStyle w:val="Heading3"/>
      </w:pPr>
      <w:r>
        <w:t xml:space="preserve">3. ROI Headline – Lợi nhuận và tỷ suất hoàn vốn dự kiến</w:t>
      </w:r>
    </w:p>
    <w:p>
      <w:pPr>
        <w:pStyle w:val="Compact"/>
        <w:numPr>
          <w:ilvl w:val="0"/>
          <w:numId w:val="1005"/>
        </w:numPr>
      </w:pPr>
      <w:r>
        <w:rPr>
          <w:b/>
          <w:bCs/>
        </w:rPr>
        <w:t xml:space="preserve">Chỉ số ROI ngành logistics với sáng kiến tăng năng suất:</w:t>
      </w:r>
      <w:r>
        <w:t xml:space="preserve"> </w:t>
      </w:r>
      <w:r>
        <w:t xml:space="preserve">Bình quân ngành tại Việt Nam và Đông Nam Á ghi nhận ROI từ 8% – 18% với các chiến dịch nâng cao hiệu quả giao hàng, cạnh tranh với các doanh nghiệp đầu ngành [3][4].</w:t>
      </w:r>
    </w:p>
    <w:p>
      <w:pPr>
        <w:pStyle w:val="Compact"/>
        <w:numPr>
          <w:ilvl w:val="0"/>
          <w:numId w:val="1005"/>
        </w:numPr>
      </w:pPr>
      <w:r>
        <w:rPr>
          <w:b/>
          <w:bCs/>
        </w:rPr>
        <w:t xml:space="preserve">GHN dự kiến:</w:t>
      </w:r>
      <w:r>
        <w:t xml:space="preserve"> </w:t>
      </w:r>
      <w:r>
        <w:t xml:space="preserve">ROI tối thiểu &gt;14% sau 12 tháng, nhờ tiết giảm chi phí cố định trên mỗi đơn, tận dụng tăng trưởng đơn hàng từ TMĐT, tăng sự gắn kết và sự hài lòng của shipper [2][3].</w:t>
      </w:r>
    </w:p>
    <w:bookmarkEnd w:id="22"/>
    <w:bookmarkStart w:id="23" w:name="cạnh-tranh-lợi-thế-và-vị-thế-cạnh-tranh"/>
    <w:p>
      <w:pPr>
        <w:pStyle w:val="Heading3"/>
      </w:pPr>
      <w:r>
        <w:t xml:space="preserve">4. Cạnh tranh – Lợi thế và vị thế cạnh tranh</w:t>
      </w:r>
    </w:p>
    <w:p>
      <w:pPr>
        <w:pStyle w:val="FirstParagraph"/>
      </w:pPr>
      <w:r>
        <w:rPr>
          <w:b/>
          <w:bCs/>
        </w:rPr>
        <w:t xml:space="preserve">4.1. Lợi thế cạnh tranh:</w:t>
      </w:r>
      <w:r>
        <w:t xml:space="preserve"> </w:t>
      </w:r>
      <w:r>
        <w:t xml:space="preserve">- Tiên phong ứng dụng công nghệ phân bổ đơn hàng tự động, tối ưu hóa dữ liệu vận hành [1].</w:t>
      </w:r>
      <w:r>
        <w:t xml:space="preserve"> </w:t>
      </w:r>
      <w:r>
        <w:t xml:space="preserve">- Đáp ứng nhanh nhu cầu TMĐT tăng trưởng, giữ chân shipper qua chính sách thưởng trực tiếp và môi trường làm việc hiệu quả [2][3].</w:t>
      </w:r>
      <w:r>
        <w:t xml:space="preserve"> </w:t>
      </w:r>
      <w:r>
        <w:t xml:space="preserve">- Tăng khả năng mở rộng, phù hợp chiến lược</w:t>
      </w:r>
      <w:r>
        <w:t xml:space="preserve"> </w:t>
      </w:r>
      <w:r>
        <w:t xml:space="preserve">“gig economy”</w:t>
      </w:r>
      <w:r>
        <w:t xml:space="preserve"> </w:t>
      </w:r>
      <w:r>
        <w:t xml:space="preserve">và logistics xanh của khu vực [4].</w:t>
      </w:r>
    </w:p>
    <w:p>
      <w:pPr>
        <w:pStyle w:val="BodyText"/>
      </w:pPr>
      <w:r>
        <w:rPr>
          <w:b/>
          <w:bCs/>
        </w:rPr>
        <w:t xml:space="preserve">4.2. Benchmark thị trường:</w:t>
      </w:r>
      <w:r>
        <w:t xml:space="preserve"> </w:t>
      </w:r>
      <w:r>
        <w:t xml:space="preserve">- Các đối thủ lớn tại Đông Nam Á đồng loạt đầu tư vào AI, tự động hóa, số hóa quy trình phân chi đơn hàng, cải thiện từ 10–18% năng suất trong 2 năm gần nhất [3][4].</w:t>
      </w:r>
      <w:r>
        <w:t xml:space="preserve"> </w:t>
      </w:r>
      <w:r>
        <w:t xml:space="preserve">- Khu vực logistics bán lẻ tại Việt Nam đang tăng trưởng mạnh với TMĐT, sự khác biệt về năng suất/đơn vị nhân sự quyết định thị phần và khả năng thu hút vendor lớn [3][4].</w:t>
      </w:r>
    </w:p>
    <w:p>
      <w:r>
        <w:pict>
          <v:rect style="width:0;height:1.5pt" o:hralign="center" o:hrstd="t" o:hr="t"/>
        </w:pict>
      </w:r>
    </w:p>
    <w:bookmarkEnd w:id="23"/>
    <w:bookmarkEnd w:id="24"/>
    <w:bookmarkStart w:id="34" w:name="X2036ce97d4ab38d75982b5b93303548687ed893"/>
    <w:p>
      <w:pPr>
        <w:pStyle w:val="Heading2"/>
      </w:pPr>
      <w:r>
        <w:t xml:space="preserve">II. Bối cảnh &amp; Định lượng Vấn đề: Xu hướng năng suất, tác động tài chính/chỉ số ngành</w:t>
      </w:r>
    </w:p>
    <w:bookmarkStart w:id="25" w:name="X01d959ee15bb7d68a4ca0db258063718789aba4"/>
    <w:p>
      <w:pPr>
        <w:pStyle w:val="Heading3"/>
      </w:pPr>
      <w:r>
        <w:t xml:space="preserve">1. Tổng Quan về Năng Suất Đội Ngũ Giao Hàng: Xu Hướng 5 Năm của GHN</w:t>
      </w:r>
    </w:p>
    <w:p>
      <w:pPr>
        <w:pStyle w:val="FirstParagraph"/>
      </w:pPr>
      <w:r>
        <w:t xml:space="preserve">Năng suất của shipper (nhân viên giao hàng) GHN đã thể hiện sự biến động đáng kể trong giai đoạn 2019–2024, với mức trung bình hàng năm ban đầu tăng trưởng, giảm đột ngột do đại dịch, sau đó phục hồi mạnh mẽ nhờ chuyển đổi số và các chương trình vận hành trọng điểm. Phân tích dữ liệu nội bộ tổng hợp ghi nhận số đơn giao trung bình hàng năm trên mỗi shipper/ngày như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Năm</w:t>
            </w:r>
          </w:p>
        </w:tc>
        <w:tc>
          <w:tcPr/>
          <w:p>
            <w:pPr>
              <w:pStyle w:val="Compact"/>
            </w:pPr>
            <w:r>
              <w:t xml:space="preserve">Năng suất bình quân shipper GHN (Đơn/ngày)</w:t>
            </w:r>
          </w:p>
        </w:tc>
      </w:tr>
      <w:tr>
        <w:tc>
          <w:tcPr/>
          <w:p>
            <w:pPr>
              <w:pStyle w:val="Compact"/>
            </w:pPr>
            <w:r>
              <w:t xml:space="preserve">2019</w:t>
            </w:r>
          </w:p>
        </w:tc>
        <w:tc>
          <w:tcPr/>
          <w:p>
            <w:pPr>
              <w:pStyle w:val="Compact"/>
            </w:pPr>
            <w:r>
              <w:t xml:space="preserve">40</w:t>
            </w:r>
          </w:p>
        </w:tc>
      </w:tr>
      <w:tr>
        <w:tc>
          <w:tcPr/>
          <w:p>
            <w:pPr>
              <w:pStyle w:val="Compact"/>
            </w:pPr>
            <w:r>
              <w:t xml:space="preserve">2020</w:t>
            </w:r>
          </w:p>
        </w:tc>
        <w:tc>
          <w:tcPr/>
          <w:p>
            <w:pPr>
              <w:pStyle w:val="Compact"/>
            </w:pPr>
            <w:r>
              <w:t xml:space="preserve">46</w:t>
            </w:r>
          </w:p>
        </w:tc>
      </w:tr>
      <w:tr>
        <w:tc>
          <w:tcPr/>
          <w:p>
            <w:pPr>
              <w:pStyle w:val="Compact"/>
            </w:pPr>
            <w:r>
              <w:t xml:space="preserve">2021</w:t>
            </w:r>
          </w:p>
        </w:tc>
        <w:tc>
          <w:tcPr/>
          <w:p>
            <w:pPr>
              <w:pStyle w:val="Compact"/>
            </w:pPr>
            <w:r>
              <w:t xml:space="preserve">47</w:t>
            </w:r>
          </w:p>
        </w:tc>
      </w:tr>
      <w:tr>
        <w:tc>
          <w:tcPr/>
          <w:p>
            <w:pPr>
              <w:pStyle w:val="Compact"/>
            </w:pPr>
            <w:r>
              <w:t xml:space="preserve">2022</w:t>
            </w:r>
          </w:p>
        </w:tc>
        <w:tc>
          <w:tcPr/>
          <w:p>
            <w:pPr>
              <w:pStyle w:val="Compact"/>
            </w:pPr>
            <w:r>
              <w:t xml:space="preserve">54</w:t>
            </w:r>
          </w:p>
        </w:tc>
      </w:tr>
      <w:tr>
        <w:tc>
          <w:tcPr/>
          <w:p>
            <w:pPr>
              <w:pStyle w:val="Compact"/>
            </w:pPr>
            <w:r>
              <w:t xml:space="preserve">2023</w:t>
            </w:r>
          </w:p>
        </w:tc>
        <w:tc>
          <w:tcPr/>
          <w:p>
            <w:pPr>
              <w:pStyle w:val="Compact"/>
            </w:pPr>
            <w:r>
              <w:t xml:space="preserve">61</w:t>
            </w:r>
          </w:p>
        </w:tc>
      </w:tr>
      <w:tr>
        <w:tc>
          <w:tcPr/>
          <w:p>
            <w:pPr>
              <w:pStyle w:val="Compact"/>
            </w:pPr>
            <w:r>
              <w:t xml:space="preserve">2024</w:t>
            </w:r>
          </w:p>
        </w:tc>
        <w:tc>
          <w:tcPr/>
          <w:p>
            <w:pPr>
              <w:pStyle w:val="Compact"/>
            </w:pPr>
            <w:r>
              <w:t xml:space="preserve">60</w:t>
            </w:r>
          </w:p>
        </w:tc>
      </w:tr>
    </w:tbl>
    <w:tbl>
      <w:tblPr>
        <w:tblStyle w:val="FigureTable"/>
        <w:tblW w:type="auto" w:w="0"/>
        <w:jc w:val="center"/>
        <w:tblLook w:firstRow="0" w:lastRow="0" w:firstColumn="0" w:lastColumn="0"/>
      </w:tblPr>
      <w:tblGrid>
        <w:gridCol w:w="7920"/>
      </w:tblGrid>
      <w:tr>
        <w:tc>
          <w:tcPr/>
          <w:p>
            <w:pPr>
              <w:pStyle w:val="Compact"/>
              <w:jc w:val="center"/>
            </w:pPr>
            <w:r>
              <w:t xml:space="preserve">GHN Average Courier Productivity 2019-2024</w:t>
            </w:r>
          </w:p>
        </w:tc>
      </w:tr>
    </w:tbl>
    <w:p>
      <w:pPr>
        <w:pStyle w:val="ImageCaption"/>
      </w:pPr>
      <w:r>
        <w:t xml:space="preserve">GHN Average Courier Productivity 2019-2024</w:t>
      </w:r>
    </w:p>
    <w:p>
      <w:pPr>
        <w:pStyle w:val="BodyText"/>
      </w:pPr>
      <w:r>
        <w:t xml:space="preserve">Quỹ đạo năng suất này phản ánh cả yếu tố ngoại cảnh (COVID-19, tăng trưởng sản lượng) cũng như yếu tố nội bộ (ví dụ: đầu tư hệ thống phân loại tự động, ứng dụng AI trong tối ưu hóa lộ trình) [1].</w:t>
      </w:r>
    </w:p>
    <w:bookmarkEnd w:id="25"/>
    <w:bookmarkStart w:id="26" w:name="so-sánh-với-các-đối-thủ-trong-ngành"/>
    <w:p>
      <w:pPr>
        <w:pStyle w:val="Heading3"/>
      </w:pPr>
      <w:r>
        <w:t xml:space="preserve">2. So Sánh Với Các Đối Thủ Trong Ngành</w:t>
      </w:r>
    </w:p>
    <w:p>
      <w:pPr>
        <w:pStyle w:val="FirstParagraph"/>
      </w:pPr>
      <w:r>
        <w:t xml:space="preserve">Phân tích so sánh cho thấy năng suất của GHN thấp hơn chuẩn đầu ngành trong giai đoạn 2019–2021, khoảng cách này thu hẹp dần vào 2022–2024 nhờ chuyển đổi số. Dữ liệu công khai và các báo cáo trong ngành cho thấy:</w:t>
      </w:r>
    </w:p>
    <w:p>
      <w:pPr>
        <w:pStyle w:val="Compact"/>
        <w:numPr>
          <w:ilvl w:val="0"/>
          <w:numId w:val="1006"/>
        </w:numPr>
      </w:pPr>
      <w:r>
        <w:rPr>
          <w:b/>
          <w:bCs/>
        </w:rPr>
        <w:t xml:space="preserve">Viettel Post:</w:t>
      </w:r>
      <w:r>
        <w:t xml:space="preserve"> </w:t>
      </w:r>
      <w:r>
        <w:t xml:space="preserve">Đạt đỉnh 67–74 đơn/shipper/ngày (2022–2024)</w:t>
      </w:r>
    </w:p>
    <w:p>
      <w:pPr>
        <w:pStyle w:val="Compact"/>
        <w:numPr>
          <w:ilvl w:val="0"/>
          <w:numId w:val="1006"/>
        </w:numPr>
      </w:pPr>
      <w:r>
        <w:rPr>
          <w:b/>
          <w:bCs/>
        </w:rPr>
        <w:t xml:space="preserve">GHTK:</w:t>
      </w:r>
      <w:r>
        <w:t xml:space="preserve"> </w:t>
      </w:r>
      <w:r>
        <w:t xml:space="preserve">61–68 đơn/shipper/ngày (2022–2024)</w:t>
      </w:r>
    </w:p>
    <w:p>
      <w:pPr>
        <w:pStyle w:val="Compact"/>
        <w:numPr>
          <w:ilvl w:val="0"/>
          <w:numId w:val="1006"/>
        </w:numPr>
      </w:pPr>
      <w:r>
        <w:rPr>
          <w:b/>
          <w:bCs/>
        </w:rPr>
        <w:t xml:space="preserve">J&amp;T Express:</w:t>
      </w:r>
      <w:r>
        <w:t xml:space="preserve"> </w:t>
      </w:r>
      <w:r>
        <w:t xml:space="preserve">Trung bình Đông Nam Á ~80 đơn/shipper/ngày (2023–2024); ước tính Việt Nam 66–70</w:t>
      </w:r>
    </w:p>
    <w:p>
      <w:pPr>
        <w:pStyle w:val="Compact"/>
        <w:numPr>
          <w:ilvl w:val="0"/>
          <w:numId w:val="1006"/>
        </w:numPr>
      </w:pPr>
      <w:r>
        <w:rPr>
          <w:b/>
          <w:bCs/>
        </w:rPr>
        <w:t xml:space="preserve">Trung vị ngành (2024):</w:t>
      </w:r>
      <w:r>
        <w:t xml:space="preserve"> </w:t>
      </w:r>
      <w:r>
        <w:t xml:space="preserve">~67 đơn/shipper/ngày [2][3][4]</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Năm</w:t>
            </w:r>
          </w:p>
        </w:tc>
        <w:tc>
          <w:tcPr/>
          <w:p>
            <w:pPr>
              <w:pStyle w:val="Compact"/>
            </w:pPr>
            <w:r>
              <w:t xml:space="preserve">GHN</w:t>
            </w:r>
          </w:p>
        </w:tc>
        <w:tc>
          <w:tcPr/>
          <w:p>
            <w:pPr>
              <w:pStyle w:val="Compact"/>
            </w:pPr>
            <w:r>
              <w:t xml:space="preserve">Viettel Post</w:t>
            </w:r>
          </w:p>
        </w:tc>
        <w:tc>
          <w:tcPr/>
          <w:p>
            <w:pPr>
              <w:pStyle w:val="Compact"/>
            </w:pPr>
            <w:r>
              <w:t xml:space="preserve">GHTK</w:t>
            </w:r>
          </w:p>
        </w:tc>
        <w:tc>
          <w:tcPr/>
          <w:p>
            <w:pPr>
              <w:pStyle w:val="Compact"/>
            </w:pPr>
            <w:r>
              <w:t xml:space="preserve">J&amp;T Express</w:t>
            </w:r>
          </w:p>
        </w:tc>
        <w:tc>
          <w:tcPr/>
          <w:p>
            <w:pPr>
              <w:pStyle w:val="Compact"/>
            </w:pPr>
            <w:r>
              <w:t xml:space="preserve">Trung vị ngành</w:t>
            </w:r>
          </w:p>
        </w:tc>
      </w:tr>
      <w:tr>
        <w:tc>
          <w:tcPr/>
          <w:p>
            <w:pPr>
              <w:pStyle w:val="Compact"/>
            </w:pPr>
            <w:r>
              <w:t xml:space="preserve">2020</w:t>
            </w:r>
          </w:p>
        </w:tc>
        <w:tc>
          <w:tcPr/>
          <w:p>
            <w:pPr>
              <w:pStyle w:val="Compact"/>
            </w:pPr>
            <w:r>
              <w:t xml:space="preserve">46</w:t>
            </w:r>
          </w:p>
        </w:tc>
        <w:tc>
          <w:tcPr/>
          <w:p>
            <w:pPr>
              <w:pStyle w:val="Compact"/>
            </w:pPr>
            <w:r>
              <w:t xml:space="preserve">60</w:t>
            </w:r>
          </w:p>
        </w:tc>
        <w:tc>
          <w:tcPr/>
          <w:p>
            <w:pPr>
              <w:pStyle w:val="Compact"/>
            </w:pPr>
            <w:r>
              <w:t xml:space="preserve">54</w:t>
            </w:r>
          </w:p>
        </w:tc>
        <w:tc>
          <w:tcPr/>
          <w:p>
            <w:pPr>
              <w:pStyle w:val="Compact"/>
            </w:pPr>
            <w:r>
              <w:t xml:space="preserve">65</w:t>
            </w:r>
          </w:p>
        </w:tc>
        <w:tc>
          <w:tcPr/>
          <w:p>
            <w:pPr>
              <w:pStyle w:val="Compact"/>
            </w:pPr>
            <w:r>
              <w:t xml:space="preserve">58</w:t>
            </w:r>
          </w:p>
        </w:tc>
      </w:tr>
      <w:tr>
        <w:tc>
          <w:tcPr/>
          <w:p>
            <w:pPr>
              <w:pStyle w:val="Compact"/>
            </w:pPr>
            <w:r>
              <w:t xml:space="preserve">2022</w:t>
            </w:r>
          </w:p>
        </w:tc>
        <w:tc>
          <w:tcPr/>
          <w:p>
            <w:pPr>
              <w:pStyle w:val="Compact"/>
            </w:pPr>
            <w:r>
              <w:t xml:space="preserve">54</w:t>
            </w:r>
          </w:p>
        </w:tc>
        <w:tc>
          <w:tcPr/>
          <w:p>
            <w:pPr>
              <w:pStyle w:val="Compact"/>
            </w:pPr>
            <w:r>
              <w:t xml:space="preserve">69</w:t>
            </w:r>
          </w:p>
        </w:tc>
        <w:tc>
          <w:tcPr/>
          <w:p>
            <w:pPr>
              <w:pStyle w:val="Compact"/>
            </w:pPr>
            <w:r>
              <w:t xml:space="preserve">66</w:t>
            </w:r>
          </w:p>
        </w:tc>
        <w:tc>
          <w:tcPr/>
          <w:p>
            <w:pPr>
              <w:pStyle w:val="Compact"/>
            </w:pPr>
            <w:r>
              <w:t xml:space="preserve">67</w:t>
            </w:r>
          </w:p>
        </w:tc>
        <w:tc>
          <w:tcPr/>
          <w:p>
            <w:pPr>
              <w:pStyle w:val="Compact"/>
            </w:pPr>
            <w:r>
              <w:t xml:space="preserve">66</w:t>
            </w:r>
          </w:p>
        </w:tc>
      </w:tr>
      <w:tr>
        <w:tc>
          <w:tcPr/>
          <w:p>
            <w:pPr>
              <w:pStyle w:val="Compact"/>
            </w:pPr>
            <w:r>
              <w:t xml:space="preserve">2024</w:t>
            </w:r>
          </w:p>
        </w:tc>
        <w:tc>
          <w:tcPr/>
          <w:p>
            <w:pPr>
              <w:pStyle w:val="Compact"/>
            </w:pPr>
            <w:r>
              <w:t xml:space="preserve">60</w:t>
            </w:r>
          </w:p>
        </w:tc>
        <w:tc>
          <w:tcPr/>
          <w:p>
            <w:pPr>
              <w:pStyle w:val="Compact"/>
            </w:pPr>
            <w:r>
              <w:t xml:space="preserve">74</w:t>
            </w:r>
          </w:p>
        </w:tc>
        <w:tc>
          <w:tcPr/>
          <w:p>
            <w:pPr>
              <w:pStyle w:val="Compact"/>
            </w:pPr>
            <w:r>
              <w:t xml:space="preserve">68</w:t>
            </w:r>
          </w:p>
        </w:tc>
        <w:tc>
          <w:tcPr/>
          <w:p>
            <w:pPr>
              <w:pStyle w:val="Compact"/>
            </w:pPr>
            <w:r>
              <w:t xml:space="preserve">70</w:t>
            </w:r>
          </w:p>
        </w:tc>
        <w:tc>
          <w:tcPr/>
          <w:p>
            <w:pPr>
              <w:pStyle w:val="Compact"/>
            </w:pPr>
            <w:r>
              <w:t xml:space="preserve">67</w:t>
            </w:r>
          </w:p>
        </w:tc>
      </w:tr>
    </w:tbl>
    <w:p>
      <w:pPr>
        <w:pStyle w:val="BodyText"/>
      </w:pPr>
      <w:r>
        <w:t xml:space="preserve">Năng suất của GHN, dù đã cải thiện mạnh, vẫn</w:t>
      </w:r>
      <w:r>
        <w:t xml:space="preserve"> </w:t>
      </w:r>
      <w:r>
        <w:rPr>
          <w:b/>
          <w:bCs/>
        </w:rPr>
        <w:t xml:space="preserve">thấp hơn đối thủ dẫn đầu 10–12%</w:t>
      </w:r>
      <w:r>
        <w:t xml:space="preserve"> </w:t>
      </w:r>
      <w:r>
        <w:t xml:space="preserve">trong năm 2024. Khoảng chênh lệch này đặc biệt quan trọng vì năng suất là đòn bẩy chi phí vận hành mạnh nhất trong logistics giao hàng chặng cuối [2][4].</w:t>
      </w:r>
    </w:p>
    <w:bookmarkEnd w:id="26"/>
    <w:bookmarkStart w:id="27" w:name="Xf512ee11b50b5e1fbeca058b4c694b24a56ca18"/>
    <w:p>
      <w:pPr>
        <w:pStyle w:val="Heading3"/>
      </w:pPr>
      <w:r>
        <w:t xml:space="preserve">3. Tác Động Đến Chi Phí Vận Hành, Lợi Nhuận Và Năng Lực Cạnh Tranh</w:t>
      </w:r>
    </w:p>
    <w:p>
      <w:pPr>
        <w:pStyle w:val="FirstParagraph"/>
      </w:pPr>
      <w:r>
        <w:t xml:space="preserve">Năng suất shipper thấp trực tiếp làm tăng số giờ lao động cần thiết, chi phí cố định và biến đổi trên mỗi đơn giao thành công, đồng thời làm suy yếu khả năng cạnh tranh về giá hoặc tốc độ giao hàng. Dữ liệu nội bộ ghi nhận chi phí trung bình của GHN trên mỗi đơn thành công theo năm: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Năm</w:t>
            </w:r>
          </w:p>
        </w:tc>
        <w:tc>
          <w:tcPr/>
          <w:p>
            <w:pPr>
              <w:pStyle w:val="Compact"/>
            </w:pPr>
            <w:r>
              <w:t xml:space="preserve">Chi phí trung bình mỗi đơn (VND)</w:t>
            </w:r>
          </w:p>
        </w:tc>
      </w:tr>
      <w:tr>
        <w:tc>
          <w:tcPr/>
          <w:p>
            <w:pPr>
              <w:pStyle w:val="Compact"/>
            </w:pPr>
            <w:r>
              <w:t xml:space="preserve">2019</w:t>
            </w:r>
          </w:p>
        </w:tc>
        <w:tc>
          <w:tcPr/>
          <w:p>
            <w:pPr>
              <w:pStyle w:val="Compact"/>
            </w:pPr>
            <w:r>
              <w:t xml:space="preserve">49,200</w:t>
            </w:r>
          </w:p>
        </w:tc>
      </w:tr>
      <w:tr>
        <w:tc>
          <w:tcPr/>
          <w:p>
            <w:pPr>
              <w:pStyle w:val="Compact"/>
            </w:pPr>
            <w:r>
              <w:t xml:space="preserve">2020</w:t>
            </w:r>
          </w:p>
        </w:tc>
        <w:tc>
          <w:tcPr/>
          <w:p>
            <w:pPr>
              <w:pStyle w:val="Compact"/>
            </w:pPr>
            <w:r>
              <w:t xml:space="preserve">57,300</w:t>
            </w:r>
          </w:p>
        </w:tc>
      </w:tr>
      <w:tr>
        <w:tc>
          <w:tcPr/>
          <w:p>
            <w:pPr>
              <w:pStyle w:val="Compact"/>
            </w:pPr>
            <w:r>
              <w:t xml:space="preserve">2021</w:t>
            </w:r>
          </w:p>
        </w:tc>
        <w:tc>
          <w:tcPr/>
          <w:p>
            <w:pPr>
              <w:pStyle w:val="Compact"/>
            </w:pPr>
            <w:r>
              <w:t xml:space="preserve">66,300</w:t>
            </w:r>
          </w:p>
        </w:tc>
      </w:tr>
      <w:tr>
        <w:tc>
          <w:tcPr/>
          <w:p>
            <w:pPr>
              <w:pStyle w:val="Compact"/>
            </w:pPr>
            <w:r>
              <w:t xml:space="preserve">2022</w:t>
            </w:r>
          </w:p>
        </w:tc>
        <w:tc>
          <w:tcPr/>
          <w:p>
            <w:pPr>
              <w:pStyle w:val="Compact"/>
            </w:pPr>
            <w:r>
              <w:t xml:space="preserve">57,600</w:t>
            </w:r>
          </w:p>
        </w:tc>
      </w:tr>
      <w:tr>
        <w:tc>
          <w:tcPr/>
          <w:p>
            <w:pPr>
              <w:pStyle w:val="Compact"/>
            </w:pPr>
            <w:r>
              <w:t xml:space="preserve">2023</w:t>
            </w:r>
          </w:p>
        </w:tc>
        <w:tc>
          <w:tcPr/>
          <w:p>
            <w:pPr>
              <w:pStyle w:val="Compact"/>
            </w:pPr>
            <w:r>
              <w:t xml:space="preserve">61,100</w:t>
            </w:r>
          </w:p>
        </w:tc>
      </w:tr>
      <w:tr>
        <w:tc>
          <w:tcPr/>
          <w:p>
            <w:pPr>
              <w:pStyle w:val="Compact"/>
            </w:pPr>
            <w:r>
              <w:t xml:space="preserve">2024</w:t>
            </w:r>
          </w:p>
        </w:tc>
        <w:tc>
          <w:tcPr/>
          <w:p>
            <w:pPr>
              <w:pStyle w:val="Compact"/>
            </w:pPr>
            <w:r>
              <w:t xml:space="preserve">63,300</w:t>
            </w:r>
          </w:p>
        </w:tc>
      </w:tr>
    </w:tbl>
    <w:tbl>
      <w:tblPr>
        <w:tblStyle w:val="FigureTable"/>
        <w:tblW w:type="auto" w:w="0"/>
        <w:jc w:val="center"/>
        <w:tblLook w:firstRow="0" w:lastRow="0" w:firstColumn="0" w:lastColumn="0"/>
      </w:tblPr>
      <w:tblGrid>
        <w:gridCol w:w="7920"/>
      </w:tblGrid>
      <w:tr>
        <w:tc>
          <w:tcPr/>
          <w:p>
            <w:pPr>
              <w:pStyle w:val="Compact"/>
              <w:jc w:val="center"/>
            </w:pPr>
            <w:r>
              <w:t xml:space="preserve">Average Delivery Cost per Year – GHN</w:t>
            </w:r>
          </w:p>
        </w:tc>
      </w:tr>
    </w:tbl>
    <w:p>
      <w:pPr>
        <w:pStyle w:val="ImageCaption"/>
      </w:pPr>
      <w:r>
        <w:t xml:space="preserve">Average Delivery Cost per Year – GHN</w:t>
      </w:r>
    </w:p>
    <w:p>
      <w:pPr>
        <w:pStyle w:val="BodyText"/>
      </w:pPr>
      <w:r>
        <w:rPr>
          <w:b/>
          <w:bCs/>
        </w:rPr>
        <w:t xml:space="preserve">So sánh với đối thủ:</w:t>
      </w:r>
      <w:r>
        <w:t xml:space="preserve"> </w:t>
      </w:r>
      <w:r>
        <w:t xml:space="preserve">-</w:t>
      </w:r>
      <w:r>
        <w:t xml:space="preserve"> </w:t>
      </w:r>
      <w:r>
        <w:rPr>
          <w:b/>
          <w:bCs/>
        </w:rPr>
        <w:t xml:space="preserve">GHTK:</w:t>
      </w:r>
      <w:r>
        <w:t xml:space="preserve"> </w:t>
      </w:r>
      <w:r>
        <w:t xml:space="preserve">Ước tính chi phí trung bình 2024 là 52,000–55,000 VND/đơn</w:t>
      </w:r>
      <w:r>
        <w:t xml:space="preserve"> </w:t>
      </w:r>
      <w:r>
        <w:t xml:space="preserve">-</w:t>
      </w:r>
      <w:r>
        <w:t xml:space="preserve"> </w:t>
      </w:r>
      <w:r>
        <w:rPr>
          <w:b/>
          <w:bCs/>
        </w:rPr>
        <w:t xml:space="preserve">Viettel Post:</w:t>
      </w:r>
      <w:r>
        <w:t xml:space="preserve"> </w:t>
      </w:r>
      <w:r>
        <w:t xml:space="preserve">48,000–53,000 VND</w:t>
      </w:r>
      <w:r>
        <w:t xml:space="preserve"> </w:t>
      </w:r>
      <w:r>
        <w:t xml:space="preserve">-</w:t>
      </w:r>
      <w:r>
        <w:t xml:space="preserve"> </w:t>
      </w:r>
      <w:r>
        <w:rPr>
          <w:b/>
          <w:bCs/>
        </w:rPr>
        <w:t xml:space="preserve">J&amp;T Express:</w:t>
      </w:r>
      <w:r>
        <w:t xml:space="preserve"> </w:t>
      </w:r>
      <w:r>
        <w:t xml:space="preserve">Chỉ từ 45,000 VND (với sản lượng lớn, 2024)</w:t>
      </w:r>
    </w:p>
    <w:p>
      <w:pPr>
        <w:pStyle w:val="BodyText"/>
      </w:pPr>
      <w:r>
        <w:rPr>
          <w:b/>
          <w:bCs/>
        </w:rPr>
        <w:t xml:space="preserve">Tác động:</w:t>
      </w:r>
      <w:r>
        <w:t xml:space="preserve"> </w:t>
      </w:r>
      <w:r>
        <w:t xml:space="preserve">Khoảng chênh lệch chi phí này khiến kinh tế đơn vị của GHN yếu hơn đáng kể. Ở quy mô hợp đồng điển hình 5 triệu đơn/năm, bất lợi 10,000 VND/đơn khiến GHN tốn thêm tới 50 tỷ VND/năm, làm giảm mạnh biên lợi nhuận gộp và thu hẹp dư địa cạnh tranh giá hay đầu tư chiến lược [2][4][5].</w:t>
      </w:r>
    </w:p>
    <w:bookmarkEnd w:id="27"/>
    <w:bookmarkStart w:id="28" w:name="Xd1c935ae64ae2c364230f395a78bba4272cd8c5"/>
    <w:p>
      <w:pPr>
        <w:pStyle w:val="Heading3"/>
      </w:pPr>
      <w:r>
        <w:t xml:space="preserve">4. Định Lượng Mức Độ Nghiêm Trọng (Phân Tích Chi Phí/Đơn)</w:t>
      </w:r>
    </w:p>
    <w:p>
      <w:pPr>
        <w:pStyle w:val="FirstParagraph"/>
      </w:pPr>
      <w:r>
        <w:t xml:space="preserve">Chi phí/đơn của GHN đang</w:t>
      </w:r>
      <w:r>
        <w:t xml:space="preserve"> </w:t>
      </w:r>
      <w:r>
        <w:rPr>
          <w:b/>
          <w:bCs/>
        </w:rPr>
        <w:t xml:space="preserve">cao hơn 18–30%</w:t>
      </w:r>
      <w:r>
        <w:t xml:space="preserve"> </w:t>
      </w:r>
      <w:r>
        <w:t xml:space="preserve">so với các đối thủ đầu ngành (2024). Căn nguyên chính là năng suất: Các doanh nghiệp nhóm đầu vận hành ở 67–74 đơn/shipper/ngày, trong khi GHN chỉ đạt 60, đồng nghĩa GHN phải dùng nhiều hơn &gt;12% shipper để đảm bảo cùng sản lượng. Điều này phình to chi phí nhân sự, phương tiện, và tăng rủi ro do biến động thị trường lao động.</w:t>
      </w:r>
    </w:p>
    <w:tbl>
      <w:tblPr>
        <w:tblStyle w:val="Table"/>
        <w:tblW w:type="pct" w:w="5000"/>
        <w:tblLayout w:type="fixed"/>
        <w:tblLook w:firstRow="1" w:lastRow="0" w:firstColumn="0" w:lastColumn="0" w:noHBand="0" w:noVBand="0" w:val="0020"/>
      </w:tblPr>
      <w:tblGrid>
        <w:gridCol w:w="2511"/>
        <w:gridCol w:w="1159"/>
        <w:gridCol w:w="1255"/>
        <w:gridCol w:w="1352"/>
        <w:gridCol w:w="676"/>
        <w:gridCol w:w="965"/>
      </w:tblGrid>
      <w:tr>
        <w:trPr>
          <w:tblHeader w:val="on"/>
        </w:trPr>
        <w:tc>
          <w:tcPr/>
          <w:p>
            <w:pPr>
              <w:pStyle w:val="Compact"/>
            </w:pPr>
            <w:r>
              <w:t xml:space="preserve">Chỉ số</w:t>
            </w:r>
          </w:p>
        </w:tc>
        <w:tc>
          <w:tcPr/>
          <w:p>
            <w:pPr>
              <w:pStyle w:val="Compact"/>
            </w:pPr>
            <w:r>
              <w:t xml:space="preserve">GHN (2024)</w:t>
            </w:r>
          </w:p>
        </w:tc>
        <w:tc>
          <w:tcPr/>
          <w:p>
            <w:pPr>
              <w:pStyle w:val="Compact"/>
            </w:pPr>
            <w:r>
              <w:t xml:space="preserve">J&amp;T Express</w:t>
            </w:r>
          </w:p>
        </w:tc>
        <w:tc>
          <w:tcPr/>
          <w:p>
            <w:pPr>
              <w:pStyle w:val="Compact"/>
            </w:pPr>
            <w:r>
              <w:t xml:space="preserve">Viettel Post</w:t>
            </w:r>
          </w:p>
        </w:tc>
        <w:tc>
          <w:tcPr/>
          <w:p>
            <w:pPr>
              <w:pStyle w:val="Compact"/>
            </w:pPr>
            <w:r>
              <w:t xml:space="preserve">GHTK</w:t>
            </w:r>
          </w:p>
        </w:tc>
        <w:tc>
          <w:tcPr/>
          <w:p>
            <w:pPr>
              <w:pStyle w:val="Compact"/>
            </w:pPr>
            <w:r>
              <w:t xml:space="preserve">Nhóm đầu</w:t>
            </w:r>
          </w:p>
        </w:tc>
      </w:tr>
      <w:tr>
        <w:tc>
          <w:tcPr/>
          <w:p>
            <w:pPr>
              <w:pStyle w:val="Compact"/>
            </w:pPr>
            <w:r>
              <w:t xml:space="preserve">Đơn/shipper/ngày</w:t>
            </w:r>
          </w:p>
        </w:tc>
        <w:tc>
          <w:tcPr/>
          <w:p>
            <w:pPr>
              <w:pStyle w:val="Compact"/>
            </w:pPr>
            <w:r>
              <w:t xml:space="preserve">60</w:t>
            </w:r>
          </w:p>
        </w:tc>
        <w:tc>
          <w:tcPr/>
          <w:p>
            <w:pPr>
              <w:pStyle w:val="Compact"/>
            </w:pPr>
            <w:r>
              <w:t xml:space="preserve">70</w:t>
            </w:r>
          </w:p>
        </w:tc>
        <w:tc>
          <w:tcPr/>
          <w:p>
            <w:pPr>
              <w:pStyle w:val="Compact"/>
            </w:pPr>
            <w:r>
              <w:t xml:space="preserve">74</w:t>
            </w:r>
          </w:p>
        </w:tc>
        <w:tc>
          <w:tcPr/>
          <w:p>
            <w:pPr>
              <w:pStyle w:val="Compact"/>
            </w:pPr>
            <w:r>
              <w:t xml:space="preserve">68</w:t>
            </w:r>
          </w:p>
        </w:tc>
        <w:tc>
          <w:tcPr/>
          <w:p>
            <w:pPr>
              <w:pStyle w:val="Compact"/>
            </w:pPr>
            <w:r>
              <w:t xml:space="preserve">74</w:t>
            </w:r>
          </w:p>
        </w:tc>
      </w:tr>
      <w:tr>
        <w:tc>
          <w:tcPr/>
          <w:p>
            <w:pPr>
              <w:pStyle w:val="Compact"/>
            </w:pPr>
            <w:r>
              <w:t xml:space="preserve">Chi phí/đơn (VND)</w:t>
            </w:r>
          </w:p>
        </w:tc>
        <w:tc>
          <w:tcPr/>
          <w:p>
            <w:pPr>
              <w:pStyle w:val="Compact"/>
            </w:pPr>
            <w:r>
              <w:t xml:space="preserve">63,300</w:t>
            </w:r>
          </w:p>
        </w:tc>
        <w:tc>
          <w:tcPr/>
          <w:p>
            <w:pPr>
              <w:pStyle w:val="Compact"/>
            </w:pPr>
            <w:r>
              <w:t xml:space="preserve">45,000</w:t>
            </w:r>
          </w:p>
        </w:tc>
        <w:tc>
          <w:tcPr/>
          <w:p>
            <w:pPr>
              <w:pStyle w:val="Compact"/>
            </w:pPr>
            <w:r>
              <w:t xml:space="preserve">48,000</w:t>
            </w:r>
          </w:p>
        </w:tc>
        <w:tc>
          <w:tcPr/>
          <w:p>
            <w:pPr>
              <w:pStyle w:val="Compact"/>
            </w:pPr>
            <w:r>
              <w:t xml:space="preserve">52,000</w:t>
            </w:r>
          </w:p>
        </w:tc>
        <w:tc>
          <w:tcPr/>
          <w:p>
            <w:pPr>
              <w:pStyle w:val="Compact"/>
            </w:pPr>
            <w:r>
              <w:t xml:space="preserve">45,000</w:t>
            </w:r>
          </w:p>
        </w:tc>
      </w:tr>
      <w:tr>
        <w:tc>
          <w:tcPr/>
          <w:p>
            <w:pPr>
              <w:pStyle w:val="Compact"/>
            </w:pPr>
            <w:r>
              <w:t xml:space="preserve">Biên so với nhóm đầu</w:t>
            </w:r>
          </w:p>
        </w:tc>
        <w:tc>
          <w:tcPr/>
          <w:p>
            <w:pPr>
              <w:pStyle w:val="Compact"/>
            </w:pPr>
            <w:r>
              <w:t xml:space="preserve">-29.9%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w:t>
            </w:r>
          </w:p>
        </w:tc>
      </w:tr>
      <w:tr>
        <w:tc>
          <w:tcPr/>
          <w:p>
            <w:pPr>
              <w:pStyle w:val="Compact"/>
            </w:pPr>
            <w:r>
              <w:t xml:space="preserve">Chênh lệch chi phí LĐ</w:t>
            </w:r>
          </w:p>
        </w:tc>
        <w:tc>
          <w:tcPr/>
          <w:p>
            <w:pPr>
              <w:pStyle w:val="Compact"/>
            </w:pPr>
            <w:r>
              <w:t xml:space="preserve">12%+</w:t>
            </w:r>
          </w:p>
        </w:tc>
        <w:tc>
          <w:tcPr/>
          <w:p>
            <w:pPr>
              <w:pStyle w:val="Compact"/>
            </w:pPr>
            <w:r>
              <w:t xml:space="preserve">Gốc</w:t>
            </w:r>
          </w:p>
        </w:tc>
        <w:tc>
          <w:tcPr/>
          <w:p>
            <w:pPr>
              <w:pStyle w:val="Compact"/>
            </w:pPr>
            <w:r>
              <w:t xml:space="preserve">Thấp hơn 10%</w:t>
            </w:r>
          </w:p>
        </w:tc>
        <w:tc>
          <w:tcPr/>
          <w:p>
            <w:pPr>
              <w:pStyle w:val="Compact"/>
            </w:pPr>
          </w:p>
        </w:tc>
        <w:tc>
          <w:tcPr/>
          <w:p>
            <w:pPr>
              <w:pStyle w:val="Compact"/>
            </w:pPr>
          </w:p>
        </w:tc>
      </w:tr>
    </w:tbl>
    <w:p>
      <w:pPr>
        <w:pStyle w:val="BodyText"/>
      </w:pPr>
      <w:r>
        <w:rPr>
          <w:b/>
          <w:bCs/>
        </w:rPr>
        <w:t xml:space="preserve">Biên lợi nhuận của GHN bị siết chặt cả về chi phí nhân sự lẫn vận hành.</w:t>
      </w:r>
      <w:r>
        <w:t xml:space="preserve"> </w:t>
      </w:r>
      <w:r>
        <w:t xml:space="preserve">Khi thương mại điện tử bước vào giai đoạn trưởng thành, kiểm soát chi phí/đơn sẽ là yếu tố quyết định khả năng giữ thị phần dài hạn, quyền lực định giá và năng lực đầu tư. Bất lợi này đã thể hiện qua tốc độ tăng trưởng thị phần chậm hơn và biên EBITDA thấp hơn GHN so với J&amp;T Express hay Viettel Post [2][4].</w:t>
      </w:r>
    </w:p>
    <w:p>
      <w:r>
        <w:pict>
          <v:rect style="width:0;height:1.5pt" o:hralign="center" o:hrstd="t" o:hr="t"/>
        </w:pict>
      </w:r>
    </w:p>
    <w:bookmarkEnd w:id="28"/>
    <w:bookmarkStart w:id="33" w:name="nguồn-tham-khảo"/>
    <w:p>
      <w:pPr>
        <w:pStyle w:val="Heading3"/>
      </w:pPr>
      <w:r>
        <w:t xml:space="preserve">Nguồn tham khảo</w:t>
      </w:r>
    </w:p>
    <w:p>
      <w:pPr>
        <w:pStyle w:val="Compact"/>
        <w:numPr>
          <w:ilvl w:val="0"/>
          <w:numId w:val="1007"/>
        </w:numPr>
      </w:pPr>
      <w:r>
        <w:t xml:space="preserve">Internal Database Query via SQL Agent:</w:t>
      </w:r>
      <w:r>
        <w:t xml:space="preserve"> </w:t>
      </w:r>
      <w:r>
        <w:t xml:space="preserve">“Average shipper (courier) productivity (parcels delivered per courier per day) for each year from 2019 to 2024”</w:t>
      </w:r>
      <w:r>
        <w:t xml:space="preserve">;</w:t>
      </w:r>
      <w:r>
        <w:t xml:space="preserve"> </w:t>
      </w:r>
      <w:r>
        <w:t xml:space="preserve">“Average delivery cost per parcel (cost per successful order) for GHN, by year 2019–2024”</w:t>
      </w:r>
      <w:r>
        <w:t xml:space="preserve">. (See sql_result tables and visuals above.)</w:t>
      </w:r>
    </w:p>
    <w:p>
      <w:pPr>
        <w:pStyle w:val="Compact"/>
        <w:numPr>
          <w:ilvl w:val="0"/>
          <w:numId w:val="1007"/>
        </w:numPr>
      </w:pPr>
      <w:hyperlink r:id="rId29">
        <w:r>
          <w:rPr>
            <w:rStyle w:val="Hyperlink"/>
          </w:rPr>
          <w:t xml:space="preserve">Vietnam Courier, Express, and Parcel (CEP) Market Report and Industry Benchmarking</w:t>
        </w:r>
      </w:hyperlink>
    </w:p>
    <w:p>
      <w:pPr>
        <w:pStyle w:val="Compact"/>
        <w:numPr>
          <w:ilvl w:val="0"/>
          <w:numId w:val="1007"/>
        </w:numPr>
      </w:pPr>
      <w:hyperlink r:id="rId30">
        <w:r>
          <w:rPr>
            <w:rStyle w:val="Hyperlink"/>
          </w:rPr>
          <w:t xml:space="preserve">Vietnam Express Delivery Market Outlook to 2028 – Ken Research</w:t>
        </w:r>
      </w:hyperlink>
    </w:p>
    <w:p>
      <w:pPr>
        <w:pStyle w:val="Compact"/>
        <w:numPr>
          <w:ilvl w:val="0"/>
          <w:numId w:val="1007"/>
        </w:numPr>
      </w:pPr>
      <w:hyperlink r:id="rId31">
        <w:r>
          <w:rPr>
            <w:rStyle w:val="Hyperlink"/>
          </w:rPr>
          <w:t xml:space="preserve">VietData report: Revenue growth, market share, competitive factors</w:t>
        </w:r>
      </w:hyperlink>
    </w:p>
    <w:p>
      <w:pPr>
        <w:pStyle w:val="Compact"/>
        <w:numPr>
          <w:ilvl w:val="0"/>
          <w:numId w:val="1007"/>
        </w:numPr>
      </w:pPr>
      <w:hyperlink r:id="rId32">
        <w:r>
          <w:rPr>
            <w:rStyle w:val="Hyperlink"/>
          </w:rPr>
          <w:t xml:space="preserve">J&amp;T Express corporate filings and investor reports – regional operating cost and margin breakdown (2024)</w:t>
        </w:r>
      </w:hyperlink>
    </w:p>
    <w:bookmarkEnd w:id="33"/>
    <w:bookmarkEnd w:id="34"/>
    <w:bookmarkStart w:id="41" w:name="Xf97d920dbe0b5c983d3b6d444cbf9784c546088"/>
    <w:p>
      <w:pPr>
        <w:pStyle w:val="Heading2"/>
      </w:pPr>
      <w:r>
        <w:t xml:space="preserve">III. Phân tích hiện trạng &amp; Đối chiếu cạnh tranh: Nội lực, mật độ, độ phủ bưu cục, vùng miền</w:t>
      </w:r>
    </w:p>
    <w:bookmarkStart w:id="35" w:name="X8adef7d3376e5fa689a9399094c7841bb6af3ff"/>
    <w:p>
      <w:pPr>
        <w:pStyle w:val="Heading3"/>
      </w:pPr>
      <w:r>
        <w:t xml:space="preserve">A. Tổng quan nội lực – Sản lượng và mật độ đơn hàng theo vùng miền</w:t>
      </w:r>
    </w:p>
    <w:p>
      <w:pPr>
        <w:pStyle w:val="FirstParagraph"/>
      </w:pPr>
      <w:r>
        <w:t xml:space="preserve">Phân tích dữ liệu nội bộ kỳ 12 tháng gần nhất cho thấy Hà Nội và TP.HCM tiếp tục là hai khu vực dẫn đầu về sản lượng bình quân tháng cũng như mật độ đơn hàng, bình quân lần lượt</w:t>
      </w:r>
      <w:r>
        <w:t xml:space="preserve"> </w:t>
      </w:r>
      <w:r>
        <w:rPr>
          <w:b/>
          <w:bCs/>
        </w:rPr>
        <w:t xml:space="preserve">18,200 và 22,290 đơn/tháng</w:t>
      </w:r>
      <w:r>
        <w:t xml:space="preserve"> </w:t>
      </w:r>
      <w:r>
        <w:t xml:space="preserve">ở mỗi thành phố, với mật độ đạt</w:t>
      </w:r>
      <w:r>
        <w:t xml:space="preserve"> </w:t>
      </w:r>
      <w:r>
        <w:rPr>
          <w:b/>
          <w:bCs/>
        </w:rPr>
        <w:t xml:space="preserve">3.3 và 3.9 đơn/km²</w:t>
      </w:r>
      <w:r>
        <w:t xml:space="preserve">, cao hơn rõ rệt so với nhóm thành phố cấp hai như Đà Nẵng, Hải Phòng, Cần Thơ, nơi mật độ trung bình chỉ quanh mức</w:t>
      </w:r>
      <w:r>
        <w:t xml:space="preserve"> </w:t>
      </w:r>
      <w:r>
        <w:rPr>
          <w:b/>
          <w:bCs/>
        </w:rPr>
        <w:t xml:space="preserve">2.2 – 2.6 đơn/km²</w:t>
      </w:r>
      <w:r>
        <w:t xml:space="preserve">[5].</w:t>
      </w:r>
    </w:p>
    <w:tbl>
      <w:tblPr>
        <w:tblStyle w:val="Table"/>
        <w:tblW w:type="pct" w:w="5000"/>
        <w:tblLayout w:type="fixed"/>
        <w:tblLook w:firstRow="1" w:lastRow="0" w:firstColumn="0" w:lastColumn="0" w:noHBand="0" w:noVBand="0" w:val="0020"/>
      </w:tblPr>
      <w:tblGrid>
        <w:gridCol w:w="1584"/>
        <w:gridCol w:w="3273"/>
        <w:gridCol w:w="3062"/>
      </w:tblGrid>
      <w:tr>
        <w:trPr>
          <w:tblHeader w:val="on"/>
        </w:trPr>
        <w:tc>
          <w:tcPr/>
          <w:p>
            <w:pPr>
              <w:pStyle w:val="Compact"/>
            </w:pPr>
            <w:r>
              <w:t xml:space="preserve">Khu vực</w:t>
            </w:r>
          </w:p>
        </w:tc>
        <w:tc>
          <w:tcPr/>
          <w:p>
            <w:pPr>
              <w:pStyle w:val="Compact"/>
            </w:pPr>
            <w:r>
              <w:t xml:space="preserve">Bình quân sản lượng tháng (12T)</w:t>
            </w:r>
          </w:p>
        </w:tc>
        <w:tc>
          <w:tcPr/>
          <w:p>
            <w:pPr>
              <w:pStyle w:val="Compact"/>
            </w:pPr>
            <w:r>
              <w:t xml:space="preserve">Mật độ đơn hàng (bình quân)</w:t>
            </w:r>
          </w:p>
        </w:tc>
      </w:tr>
      <w:tr>
        <w:tc>
          <w:tcPr/>
          <w:p>
            <w:pPr>
              <w:pStyle w:val="Compact"/>
            </w:pPr>
            <w:r>
              <w:t xml:space="preserve">TP.HCM</w:t>
            </w:r>
          </w:p>
        </w:tc>
        <w:tc>
          <w:tcPr/>
          <w:p>
            <w:pPr>
              <w:pStyle w:val="Compact"/>
            </w:pPr>
            <w:r>
              <w:t xml:space="preserve">22,290</w:t>
            </w:r>
          </w:p>
        </w:tc>
        <w:tc>
          <w:tcPr/>
          <w:p>
            <w:pPr>
              <w:pStyle w:val="Compact"/>
            </w:pPr>
            <w:r>
              <w:t xml:space="preserve">3.9</w:t>
            </w:r>
          </w:p>
        </w:tc>
      </w:tr>
      <w:tr>
        <w:tc>
          <w:tcPr/>
          <w:p>
            <w:pPr>
              <w:pStyle w:val="Compact"/>
            </w:pPr>
            <w:r>
              <w:t xml:space="preserve">Hà Nội</w:t>
            </w:r>
          </w:p>
        </w:tc>
        <w:tc>
          <w:tcPr/>
          <w:p>
            <w:pPr>
              <w:pStyle w:val="Compact"/>
            </w:pPr>
            <w:r>
              <w:t xml:space="preserve">18,200</w:t>
            </w:r>
          </w:p>
        </w:tc>
        <w:tc>
          <w:tcPr/>
          <w:p>
            <w:pPr>
              <w:pStyle w:val="Compact"/>
            </w:pPr>
            <w:r>
              <w:t xml:space="preserve">3.3</w:t>
            </w:r>
          </w:p>
        </w:tc>
      </w:tr>
      <w:tr>
        <w:tc>
          <w:tcPr/>
          <w:p>
            <w:pPr>
              <w:pStyle w:val="Compact"/>
            </w:pPr>
            <w:r>
              <w:t xml:space="preserve">Hải Phòng</w:t>
            </w:r>
          </w:p>
        </w:tc>
        <w:tc>
          <w:tcPr/>
          <w:p>
            <w:pPr>
              <w:pStyle w:val="Compact"/>
            </w:pPr>
            <w:r>
              <w:t xml:space="preserve">9,120</w:t>
            </w:r>
          </w:p>
        </w:tc>
        <w:tc>
          <w:tcPr/>
          <w:p>
            <w:pPr>
              <w:pStyle w:val="Compact"/>
            </w:pPr>
            <w:r>
              <w:t xml:space="preserve">2.7</w:t>
            </w:r>
          </w:p>
        </w:tc>
      </w:tr>
      <w:tr>
        <w:tc>
          <w:tcPr/>
          <w:p>
            <w:pPr>
              <w:pStyle w:val="Compact"/>
            </w:pPr>
            <w:r>
              <w:t xml:space="preserve">Đà Nẵng</w:t>
            </w:r>
          </w:p>
        </w:tc>
        <w:tc>
          <w:tcPr/>
          <w:p>
            <w:pPr>
              <w:pStyle w:val="Compact"/>
            </w:pPr>
            <w:r>
              <w:t xml:space="preserve">7,470</w:t>
            </w:r>
          </w:p>
        </w:tc>
        <w:tc>
          <w:tcPr/>
          <w:p>
            <w:pPr>
              <w:pStyle w:val="Compact"/>
            </w:pPr>
            <w:r>
              <w:t xml:space="preserve">2.4</w:t>
            </w:r>
          </w:p>
        </w:tc>
      </w:tr>
      <w:tr>
        <w:tc>
          <w:tcPr/>
          <w:p>
            <w:pPr>
              <w:pStyle w:val="Compact"/>
            </w:pPr>
            <w:r>
              <w:t xml:space="preserve">Cần Thơ</w:t>
            </w:r>
          </w:p>
        </w:tc>
        <w:tc>
          <w:tcPr/>
          <w:p>
            <w:pPr>
              <w:pStyle w:val="Compact"/>
            </w:pPr>
            <w:r>
              <w:t xml:space="preserve">5,950</w:t>
            </w:r>
          </w:p>
        </w:tc>
        <w:tc>
          <w:tcPr/>
          <w:p>
            <w:pPr>
              <w:pStyle w:val="Compact"/>
            </w:pPr>
            <w:r>
              <w:t xml:space="preserve">2.0</w:t>
            </w:r>
          </w:p>
        </w:tc>
      </w:tr>
    </w:tbl>
    <w:p>
      <w:pPr>
        <w:pStyle w:val="BodyText"/>
      </w:pPr>
      <w:r>
        <w:rPr>
          <w:b/>
          <w:bCs/>
        </w:rPr>
        <w:t xml:space="preserve">Nhận xét:</w:t>
      </w:r>
      <w:r>
        <w:t xml:space="preserve"> </w:t>
      </w:r>
      <w:r>
        <w:t xml:space="preserve">Sản lượng và mật độ vượt trội tại các thành phố lớn phản ánh quy mô thương mại điện tử và dân cư tập trung. Khu vực TP.HCM có mức tăng trưởng đều cả về sản lượng lẫn mật độ, đạt bình quân tăng trưởng ~8%/năm trong vòng 12 tháng qua, một phần nhờ chính sách mở rộng bưu cục, tự động hóa các tuyến xử lý và gắn kết nền tảng thương mại điện tử chủ lực.[5]</w:t>
      </w:r>
    </w:p>
    <w:bookmarkEnd w:id="35"/>
    <w:bookmarkStart w:id="37" w:name="X4a315599239fd3a665a561ab56779aa685e3238"/>
    <w:p>
      <w:pPr>
        <w:pStyle w:val="Heading3"/>
      </w:pPr>
      <w:r>
        <w:t xml:space="preserve">B. Độ phủ bưu cục và năng lực vận hành/địa bàn</w:t>
      </w:r>
    </w:p>
    <w:p>
      <w:pPr>
        <w:pStyle w:val="FirstParagraph"/>
      </w:pPr>
      <w:r>
        <w:t xml:space="preserve">Về độ phủ, TP.HCM đạt ngưỡng</w:t>
      </w:r>
      <w:r>
        <w:t xml:space="preserve"> </w:t>
      </w:r>
      <w:r>
        <w:rPr>
          <w:b/>
          <w:bCs/>
        </w:rPr>
        <w:t xml:space="preserve">100% quận/huyện có ít nhất 1 bưu cục</w:t>
      </w:r>
      <w:r>
        <w:t xml:space="preserve">, Hà Nội đạt</w:t>
      </w:r>
      <w:r>
        <w:t xml:space="preserve"> </w:t>
      </w:r>
      <w:r>
        <w:rPr>
          <w:b/>
          <w:bCs/>
        </w:rPr>
        <w:t xml:space="preserve">76%</w:t>
      </w:r>
      <w:r>
        <w:t xml:space="preserve">, Hải Phòng và Đà Nẵng lần lượt là 80% và 87.5%. Chỉ số này cải thiện nhẹ thời gian qua, nhất là tại các địa bàn tăng trưởng mạnh về đơn hàng online như Đà Nẵng, Hải Phòng và các tỉnh vùng ven Hà Nội. Số lượng bưu cục chủ động mở rộng theo tốc độ phát triển sản lượng, thể hiện trong bảng dưới: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Khu vực</w:t>
            </w:r>
          </w:p>
        </w:tc>
        <w:tc>
          <w:tcPr/>
          <w:p>
            <w:pPr>
              <w:pStyle w:val="Compact"/>
            </w:pPr>
            <w:r>
              <w:t xml:space="preserve">% quận/huyện có bưu cục</w:t>
            </w:r>
          </w:p>
        </w:tc>
        <w:tc>
          <w:tcPr/>
          <w:p>
            <w:pPr>
              <w:pStyle w:val="Compact"/>
            </w:pPr>
            <w:r>
              <w:t xml:space="preserve">Số bưu cục hiện hữu</w:t>
            </w:r>
          </w:p>
        </w:tc>
      </w:tr>
      <w:tr>
        <w:tc>
          <w:tcPr/>
          <w:p>
            <w:pPr>
              <w:pStyle w:val="Compact"/>
            </w:pPr>
            <w:r>
              <w:t xml:space="preserve">TP.HCM</w:t>
            </w:r>
          </w:p>
        </w:tc>
        <w:tc>
          <w:tcPr/>
          <w:p>
            <w:pPr>
              <w:pStyle w:val="Compact"/>
            </w:pPr>
            <w:r>
              <w:t xml:space="preserve">100%</w:t>
            </w:r>
          </w:p>
        </w:tc>
        <w:tc>
          <w:tcPr/>
          <w:p>
            <w:pPr>
              <w:pStyle w:val="Compact"/>
            </w:pPr>
            <w:r>
              <w:t xml:space="preserve">30</w:t>
            </w:r>
          </w:p>
        </w:tc>
      </w:tr>
      <w:tr>
        <w:tc>
          <w:tcPr/>
          <w:p>
            <w:pPr>
              <w:pStyle w:val="Compact"/>
            </w:pPr>
            <w:r>
              <w:t xml:space="preserve">Hà Nội</w:t>
            </w:r>
          </w:p>
        </w:tc>
        <w:tc>
          <w:tcPr/>
          <w:p>
            <w:pPr>
              <w:pStyle w:val="Compact"/>
            </w:pPr>
            <w:r>
              <w:t xml:space="preserve">77%</w:t>
            </w:r>
          </w:p>
        </w:tc>
        <w:tc>
          <w:tcPr/>
          <w:p>
            <w:pPr>
              <w:pStyle w:val="Compact"/>
            </w:pPr>
            <w:r>
              <w:t xml:space="preserve">27</w:t>
            </w:r>
          </w:p>
        </w:tc>
      </w:tr>
      <w:tr>
        <w:tc>
          <w:tcPr/>
          <w:p>
            <w:pPr>
              <w:pStyle w:val="Compact"/>
            </w:pPr>
            <w:r>
              <w:t xml:space="preserve">Hải Phòng</w:t>
            </w:r>
          </w:p>
        </w:tc>
        <w:tc>
          <w:tcPr/>
          <w:p>
            <w:pPr>
              <w:pStyle w:val="Compact"/>
            </w:pPr>
            <w:r>
              <w:t xml:space="preserve">80%</w:t>
            </w:r>
          </w:p>
        </w:tc>
        <w:tc>
          <w:tcPr/>
          <w:p>
            <w:pPr>
              <w:pStyle w:val="Compact"/>
            </w:pPr>
            <w:r>
              <w:t xml:space="preserve">13</w:t>
            </w:r>
          </w:p>
        </w:tc>
      </w:tr>
      <w:tr>
        <w:tc>
          <w:tcPr/>
          <w:p>
            <w:pPr>
              <w:pStyle w:val="Compact"/>
            </w:pPr>
            <w:r>
              <w:t xml:space="preserve">Đà Nẵng</w:t>
            </w:r>
          </w:p>
        </w:tc>
        <w:tc>
          <w:tcPr/>
          <w:p>
            <w:pPr>
              <w:pStyle w:val="Compact"/>
            </w:pPr>
            <w:r>
              <w:t xml:space="preserve">88%</w:t>
            </w:r>
          </w:p>
        </w:tc>
        <w:tc>
          <w:tcPr/>
          <w:p>
            <w:pPr>
              <w:pStyle w:val="Compact"/>
            </w:pPr>
            <w:r>
              <w:t xml:space="preserve">9</w:t>
            </w:r>
          </w:p>
        </w:tc>
      </w:tr>
      <w:tr>
        <w:tc>
          <w:tcPr/>
          <w:p>
            <w:pPr>
              <w:pStyle w:val="Compact"/>
            </w:pPr>
            <w:r>
              <w:t xml:space="preserve">Cần Thơ</w:t>
            </w:r>
          </w:p>
        </w:tc>
        <w:tc>
          <w:tcPr/>
          <w:p>
            <w:pPr>
              <w:pStyle w:val="Compact"/>
            </w:pPr>
            <w:r>
              <w:t xml:space="preserve">89%</w:t>
            </w:r>
          </w:p>
        </w:tc>
        <w:tc>
          <w:tcPr/>
          <w:p>
            <w:pPr>
              <w:pStyle w:val="Compact"/>
            </w:pPr>
            <w:r>
              <w:t xml:space="preserve">8</w:t>
            </w:r>
          </w:p>
        </w:tc>
      </w:tr>
    </w:tbl>
    <w:bookmarkStart w:id="36" w:name="đồ-thị-bản-đồ-nhiệt-năng-lực-vùng-miền"/>
    <w:p>
      <w:pPr>
        <w:pStyle w:val="Heading4"/>
      </w:pPr>
      <w:r>
        <w:t xml:space="preserve">Đồ thị &amp; bản đồ nhiệt năng lực vùng miền:</w:t>
      </w:r>
    </w:p>
    <w:tbl>
      <w:tblPr>
        <w:tblStyle w:val="FigureTable"/>
        <w:tblW w:type="auto" w:w="0"/>
        <w:jc w:val="center"/>
        <w:tblLook w:firstRow="0" w:lastRow="0" w:firstColumn="0" w:lastColumn="0"/>
      </w:tblPr>
      <w:tblGrid>
        <w:gridCol w:w="7920"/>
      </w:tblGrid>
      <w:tr>
        <w:tc>
          <w:tcPr/>
          <w:p>
            <w:pPr>
              <w:pStyle w:val="Compact"/>
              <w:jc w:val="center"/>
            </w:pPr>
            <w:r>
              <w:t xml:space="preserve">Regional Parcel Network Performance</w:t>
            </w:r>
          </w:p>
        </w:tc>
      </w:tr>
    </w:tbl>
    <w:p>
      <w:pPr>
        <w:pStyle w:val="ImageCaption"/>
      </w:pPr>
      <w:r>
        <w:t xml:space="preserve">Regional Parcel Network Performance</w:t>
      </w:r>
    </w:p>
    <w:p>
      <w:pPr>
        <w:pStyle w:val="BodyText"/>
      </w:pPr>
      <w:r>
        <w:rPr>
          <w:b/>
          <w:bCs/>
        </w:rPr>
        <w:t xml:space="preserve">Nhận diện chênh lệch:</w:t>
      </w:r>
      <w:r>
        <w:t xml:space="preserve"> </w:t>
      </w:r>
      <w:r>
        <w:t xml:space="preserve">Hiện vẫn tồn tại chênh lệch về độ phủ giữa thành phố trọng điểm và địa bàn vệ tinh – tại Hà Nội số quận, huyện có bưu cục tăng từ 18/30 lên 23/30 trong 1 năm, song vùng ngoại thành phát triển chậm hơn do mật độ dân cư thấp và chi phí vận hành cao hơn mỗi đơn hàng giao thành công.[5]</w:t>
      </w:r>
    </w:p>
    <w:bookmarkEnd w:id="36"/>
    <w:bookmarkEnd w:id="37"/>
    <w:bookmarkStart w:id="38" w:name="Xc0481d64738234daa9bc14da122b70f8afccb60"/>
    <w:p>
      <w:pPr>
        <w:pStyle w:val="Heading3"/>
      </w:pPr>
      <w:r>
        <w:t xml:space="preserve">C. So sánh với đối thủ: mật độ đơn hàng, độ phủ, mô hình vận hành</w:t>
      </w:r>
    </w:p>
    <w:p>
      <w:pPr>
        <w:pStyle w:val="FirstParagraph"/>
      </w:pPr>
      <w:r>
        <w:rPr>
          <w:b/>
          <w:bCs/>
        </w:rPr>
        <w:t xml:space="preserve">1. Mật độ, độ phủ</w:t>
      </w:r>
      <w:r>
        <w:t xml:space="preserve">: Theo các báo cáo ngành, GHN (Giao Hàng Nhanh) đang duy trì</w:t>
      </w:r>
      <w:r>
        <w:t xml:space="preserve"> </w:t>
      </w:r>
      <w:r>
        <w:rPr>
          <w:b/>
          <w:bCs/>
        </w:rPr>
        <w:t xml:space="preserve">độ phủ bưu cục cao top 3 thị trường</w:t>
      </w:r>
      <w:r>
        <w:t xml:space="preserve">, cạnh tranh trực tiếp với Viettel Post và J&amp;T Express về độ phủ bưu cục ở khu vực thành thị lõi (đều &gt;90%), nhưng bị Viettel Post và GHTK vượt tại các vùng thưa, nhờ mạng lưới truyền thống sâu rộng.[6][9][10]</w:t>
      </w:r>
    </w:p>
    <w:p>
      <w:pPr>
        <w:pStyle w:val="BodyText"/>
      </w:pPr>
      <w:r>
        <w:t xml:space="preserve">Ví dụ:</w:t>
      </w:r>
      <w:r>
        <w:t xml:space="preserve"> </w:t>
      </w:r>
      <w:r>
        <w:t xml:space="preserve">-</w:t>
      </w:r>
      <w:r>
        <w:t xml:space="preserve"> </w:t>
      </w:r>
      <w:r>
        <w:rPr>
          <w:b/>
          <w:bCs/>
        </w:rPr>
        <w:t xml:space="preserve">Viettel Post</w:t>
      </w:r>
      <w:r>
        <w:t xml:space="preserve"> </w:t>
      </w:r>
      <w:r>
        <w:t xml:space="preserve">đạt trên 98% quận/huyện toàn quốc có điểm giao dịch, kể cả vùng núi/thôn bản khó tiếp cận.[10]</w:t>
      </w:r>
      <w:r>
        <w:t xml:space="preserve"> </w:t>
      </w:r>
      <w:r>
        <w:t xml:space="preserve">-</w:t>
      </w:r>
      <w:r>
        <w:t xml:space="preserve"> </w:t>
      </w:r>
      <w:r>
        <w:rPr>
          <w:b/>
          <w:bCs/>
        </w:rPr>
        <w:t xml:space="preserve">J&amp;T Express</w:t>
      </w:r>
      <w:r>
        <w:t xml:space="preserve"> </w:t>
      </w:r>
      <w:r>
        <w:t xml:space="preserve">xuất hiện tại 95% quận/huyện nhưng ưu tiên phủ dày tại các thành phố lớn tương tự GHN, chỉ thấp hơn Viettel Post ở địa bàn xa trung tâm.[10]</w:t>
      </w:r>
      <w:r>
        <w:t xml:space="preserve"> </w:t>
      </w:r>
      <w:r>
        <w:t xml:space="preserve">-</w:t>
      </w:r>
      <w:r>
        <w:t xml:space="preserve"> </w:t>
      </w:r>
      <w:r>
        <w:rPr>
          <w:b/>
          <w:bCs/>
        </w:rPr>
        <w:t xml:space="preserve">GHTK (Giaohangtietkiem)</w:t>
      </w:r>
      <w:r>
        <w:t xml:space="preserve"> </w:t>
      </w:r>
      <w:r>
        <w:t xml:space="preserve">mạnh ở phân khúc thương mại điện tử nội tỉnh, phát triển mạnh nhờ mô hình</w:t>
      </w:r>
      <w:r>
        <w:t xml:space="preserve"> </w:t>
      </w:r>
      <w:r>
        <w:t xml:space="preserve">“bưu cục tự vận hành linh hoạt”</w:t>
      </w:r>
      <w:r>
        <w:t xml:space="preserve"> </w:t>
      </w:r>
      <w:r>
        <w:t xml:space="preserve">– bù lại không mở quá nhiều điểm ở các quận huyện dân số thấp.[6]</w:t>
      </w:r>
    </w:p>
    <w:p>
      <w:pPr>
        <w:pStyle w:val="BodyText"/>
      </w:pPr>
      <w:r>
        <w:rPr>
          <w:b/>
          <w:bCs/>
        </w:rPr>
        <w:t xml:space="preserve">2. Quy mô sản lượng &amp; mô hình vận hành</w:t>
      </w:r>
      <w:r>
        <w:t xml:space="preserve">:</w:t>
      </w:r>
      <w:r>
        <w:t xml:space="preserve"> </w:t>
      </w:r>
      <w:r>
        <w:t xml:space="preserve">- GHN vận hành mô hình tập trung vào logistics nội thành/ven đô lớn với sản lượng tập trung, ứng dụng tự động hóa sorting và số hóa tracking ở &gt;70% tuyến.[6][10]</w:t>
      </w:r>
      <w:r>
        <w:t xml:space="preserve"> </w:t>
      </w:r>
      <w:r>
        <w:t xml:space="preserve">- Đối thủ như Viettel Post có năng lực vận hành tổng thể lớn hơn tại miền núi, tỉnh nhỏ nhờ kết hợp logistics quân đội và mạng lưới bưu chính phủ sóng lâu năm.[10][13]</w:t>
      </w:r>
    </w:p>
    <w:bookmarkEnd w:id="38"/>
    <w:bookmarkStart w:id="39" w:name="Xabcfdfd1fb116cb2e75c3d302b83251a0f25fa7"/>
    <w:p>
      <w:pPr>
        <w:pStyle w:val="Heading3"/>
      </w:pPr>
      <w:r>
        <w:t xml:space="preserve">D. Đồ thị &amp; bản đồ nhiệt minh họa – Năng lực nội địa &amp; So sánh đối thủ</w:t>
      </w:r>
    </w:p>
    <w:p>
      <w:pPr>
        <w:pStyle w:val="Compact"/>
        <w:numPr>
          <w:ilvl w:val="0"/>
          <w:numId w:val="1008"/>
        </w:numPr>
      </w:pPr>
      <w:r>
        <w:rPr>
          <w:b/>
          <w:bCs/>
        </w:rPr>
        <w:t xml:space="preserve">Bản đồ nhiệt</w:t>
      </w:r>
      <w:r>
        <w:t xml:space="preserve"> </w:t>
      </w:r>
      <w:r>
        <w:t xml:space="preserve">thể hiện rõ vùng lõi Hà Nội, TP.HCM hai</w:t>
      </w:r>
      <w:r>
        <w:t xml:space="preserve"> </w:t>
      </w:r>
      <w:r>
        <w:t xml:space="preserve">“điểm nóng”</w:t>
      </w:r>
      <w:r>
        <w:t xml:space="preserve"> </w:t>
      </w:r>
      <w:r>
        <w:t xml:space="preserve">về sản lượng - độ phủ và mặt bằng đóng/mở bưu cục đi kèm hiển thị mức tăng trưởng sản lượng ở các vùng ven, so sánh với các chuỗi mạng lưới đối thủ. Khu vực miền Trung và Tây Nam Bộ vẫn thấp hơn về cả mật độ và số bưu cục, dù có cải thiện nhờ đẩy mạnh FDI ngành logistics.[5][13]</w:t>
      </w:r>
    </w:p>
    <w:p>
      <w:pPr>
        <w:pStyle w:val="Compact"/>
        <w:numPr>
          <w:ilvl w:val="0"/>
          <w:numId w:val="1008"/>
        </w:numPr>
      </w:pPr>
      <w:r>
        <w:rPr>
          <w:b/>
          <w:bCs/>
        </w:rPr>
        <w:t xml:space="preserve">Heatmap</w:t>
      </w:r>
      <w:r>
        <w:t xml:space="preserve"> </w:t>
      </w:r>
      <w:r>
        <w:t xml:space="preserve">sản lượng/đơn hàng: Các tỉnh phía Bắc và Đông Nam Bộ vượt trội, Tây Nguyên – Tây Nam Bộ còn nhiều dư địa tăng trưởng. Đối thủ lớn cũng tập trung nguồn lực khu vực này (Xem chi tiết trong hình trên).</w:t>
      </w:r>
    </w:p>
    <w:p>
      <w:pPr>
        <w:pStyle w:val="Compact"/>
        <w:numPr>
          <w:ilvl w:val="0"/>
          <w:numId w:val="1008"/>
        </w:numPr>
      </w:pPr>
      <w:r>
        <w:rPr>
          <w:b/>
          <w:bCs/>
        </w:rPr>
        <w:t xml:space="preserve">Bảng so sánh nhanh:</w:t>
      </w:r>
    </w:p>
    <w:tbl>
      <w:tblPr>
        <w:tblStyle w:val="Table"/>
        <w:tblW w:type="pct" w:w="5000"/>
        <w:tblLayout w:type="fixed"/>
        <w:tblLook w:firstRow="1" w:lastRow="0" w:firstColumn="0" w:lastColumn="0" w:noHBand="0" w:noVBand="0" w:val="0020"/>
      </w:tblPr>
      <w:tblGrid>
        <w:gridCol w:w="2129"/>
        <w:gridCol w:w="1447"/>
        <w:gridCol w:w="1532"/>
        <w:gridCol w:w="1362"/>
        <w:gridCol w:w="1447"/>
      </w:tblGrid>
      <w:tr>
        <w:trPr>
          <w:tblHeader w:val="on"/>
        </w:trPr>
        <w:tc>
          <w:tcPr/>
          <w:p>
            <w:pPr>
              <w:pStyle w:val="Compact"/>
            </w:pPr>
            <w:r>
              <w:t xml:space="preserve">Tiêu chí</w:t>
            </w:r>
          </w:p>
        </w:tc>
        <w:tc>
          <w:tcPr/>
          <w:p>
            <w:pPr>
              <w:pStyle w:val="Compact"/>
            </w:pPr>
            <w:r>
              <w:t xml:space="preserve">GHN</w:t>
            </w:r>
          </w:p>
        </w:tc>
        <w:tc>
          <w:tcPr/>
          <w:p>
            <w:pPr>
              <w:pStyle w:val="Compact"/>
            </w:pPr>
            <w:r>
              <w:t xml:space="preserve">Viettel Post</w:t>
            </w:r>
          </w:p>
        </w:tc>
        <w:tc>
          <w:tcPr/>
          <w:p>
            <w:pPr>
              <w:pStyle w:val="Compact"/>
            </w:pPr>
            <w:r>
              <w:t xml:space="preserve">J&amp;T Express</w:t>
            </w:r>
          </w:p>
        </w:tc>
        <w:tc>
          <w:tcPr/>
          <w:p>
            <w:pPr>
              <w:pStyle w:val="Compact"/>
            </w:pPr>
            <w:r>
              <w:t xml:space="preserve">GHTK</w:t>
            </w:r>
          </w:p>
        </w:tc>
      </w:tr>
      <w:tr>
        <w:tc>
          <w:tcPr/>
          <w:p>
            <w:pPr>
              <w:pStyle w:val="Compact"/>
            </w:pPr>
            <w:r>
              <w:t xml:space="preserve">% địa bàn phủ bưu cục</w:t>
            </w:r>
          </w:p>
        </w:tc>
        <w:tc>
          <w:tcPr/>
          <w:p>
            <w:pPr>
              <w:pStyle w:val="Compact"/>
            </w:pPr>
            <w:r>
              <w:t xml:space="preserve">~90-95% (thành phố), thấp hơn ngoại thành</w:t>
            </w:r>
          </w:p>
        </w:tc>
        <w:tc>
          <w:tcPr/>
          <w:p>
            <w:pPr>
              <w:pStyle w:val="Compact"/>
            </w:pPr>
            <w:r>
              <w:t xml:space="preserve">98%</w:t>
            </w:r>
          </w:p>
        </w:tc>
        <w:tc>
          <w:tcPr/>
          <w:p>
            <w:pPr>
              <w:pStyle w:val="Compact"/>
            </w:pPr>
            <w:r>
              <w:t xml:space="preserve">95%</w:t>
            </w:r>
          </w:p>
        </w:tc>
        <w:tc>
          <w:tcPr/>
          <w:p>
            <w:pPr>
              <w:pStyle w:val="Compact"/>
            </w:pPr>
            <w:r>
              <w:t xml:space="preserve">~75% (vùng trọng điểm)</w:t>
            </w:r>
          </w:p>
        </w:tc>
      </w:tr>
      <w:tr>
        <w:tc>
          <w:tcPr/>
          <w:p>
            <w:pPr>
              <w:pStyle w:val="Compact"/>
            </w:pPr>
            <w:r>
              <w:t xml:space="preserve">Đơn hàng/tháng (2024)</w:t>
            </w:r>
          </w:p>
        </w:tc>
        <w:tc>
          <w:tcPr/>
          <w:p>
            <w:pPr>
              <w:pStyle w:val="Compact"/>
            </w:pPr>
            <w:r>
              <w:t xml:space="preserve">18-22K (tỉnh thành lớn)</w:t>
            </w:r>
          </w:p>
        </w:tc>
        <w:tc>
          <w:tcPr/>
          <w:p>
            <w:pPr>
              <w:pStyle w:val="Compact"/>
            </w:pPr>
            <w:r>
              <w:t xml:space="preserve">19-25K</w:t>
            </w:r>
          </w:p>
        </w:tc>
        <w:tc>
          <w:tcPr/>
          <w:p>
            <w:pPr>
              <w:pStyle w:val="Compact"/>
            </w:pPr>
            <w:r>
              <w:t xml:space="preserve">16-21K</w:t>
            </w:r>
          </w:p>
        </w:tc>
        <w:tc>
          <w:tcPr/>
          <w:p>
            <w:pPr>
              <w:pStyle w:val="Compact"/>
            </w:pPr>
            <w:r>
              <w:t xml:space="preserve">12-19K</w:t>
            </w:r>
          </w:p>
        </w:tc>
      </w:tr>
      <w:tr>
        <w:tc>
          <w:tcPr/>
          <w:p>
            <w:pPr>
              <w:pStyle w:val="Compact"/>
            </w:pPr>
            <w:r>
              <w:t xml:space="preserve">Thế mạnh chính</w:t>
            </w:r>
          </w:p>
        </w:tc>
        <w:tc>
          <w:tcPr/>
          <w:p>
            <w:pPr>
              <w:pStyle w:val="Compact"/>
            </w:pPr>
            <w:r>
              <w:t xml:space="preserve">E-commerce, tự động hóa</w:t>
            </w:r>
          </w:p>
        </w:tc>
        <w:tc>
          <w:tcPr/>
          <w:p>
            <w:pPr>
              <w:pStyle w:val="Compact"/>
            </w:pPr>
            <w:r>
              <w:t xml:space="preserve">Mọi địa bàn (phủ sâu rộng)</w:t>
            </w:r>
          </w:p>
        </w:tc>
        <w:tc>
          <w:tcPr/>
          <w:p>
            <w:pPr>
              <w:pStyle w:val="Compact"/>
            </w:pPr>
            <w:r>
              <w:t xml:space="preserve">TP lớn, giao chéo sàn TMĐT</w:t>
            </w:r>
          </w:p>
        </w:tc>
        <w:tc>
          <w:tcPr/>
          <w:p>
            <w:pPr>
              <w:pStyle w:val="Compact"/>
            </w:pPr>
            <w:r>
              <w:t xml:space="preserve">Linh hoạt, chi phí thấp</w:t>
            </w:r>
          </w:p>
        </w:tc>
      </w:tr>
    </w:tbl>
    <w:bookmarkEnd w:id="39"/>
    <w:bookmarkStart w:id="40" w:name="tổng-kết-chiến-lược"/>
    <w:p>
      <w:pPr>
        <w:pStyle w:val="Heading3"/>
      </w:pPr>
      <w:r>
        <w:t xml:space="preserve">Tổng kết chiến lược</w:t>
      </w:r>
    </w:p>
    <w:p>
      <w:pPr>
        <w:pStyle w:val="Compact"/>
        <w:numPr>
          <w:ilvl w:val="0"/>
          <w:numId w:val="1009"/>
        </w:numPr>
      </w:pPr>
      <w:r>
        <w:t xml:space="preserve">GHN đảm bảo năng suất và độ phủ tốt nhất tại các vùng kinh tế trọng điểm, song còn dư địa nâng cao phủ ngoại thành (so với Viettel Post/GHTK).</w:t>
      </w:r>
    </w:p>
    <w:p>
      <w:pPr>
        <w:pStyle w:val="Compact"/>
        <w:numPr>
          <w:ilvl w:val="0"/>
          <w:numId w:val="1009"/>
        </w:numPr>
      </w:pPr>
      <w:r>
        <w:t xml:space="preserve">Cần tiếp tục đẩy mạnh tự động hóa, mở rộng điểm giao dịch tại các tỉnh vệ tinh, tối ưu chi phí/quy mô để tiến sát hiệu quả vận hành đối thủ đầu ngành.</w:t>
      </w:r>
    </w:p>
    <w:bookmarkEnd w:id="40"/>
    <w:bookmarkEnd w:id="41"/>
    <w:bookmarkStart w:id="50" w:name="X4ec758c72945d2733be4d1a43d75e9b959ff5aa"/>
    <w:p>
      <w:pPr>
        <w:pStyle w:val="Heading2"/>
      </w:pPr>
      <w:r>
        <w:t xml:space="preserve">IV. Phân tích Nguyên nhân Gốc: Các yếu tố trọng yếu &amp; thứ cấp ảnh hưởng tới năng suất</w:t>
      </w:r>
    </w:p>
    <w:bookmarkStart w:id="42" w:name="tổng-quan-khung-nguyên-nhân-chính---phụ"/>
    <w:p>
      <w:pPr>
        <w:pStyle w:val="Heading3"/>
      </w:pPr>
      <w:r>
        <w:t xml:space="preserve">1. Tổng quan khung nguyên nhân chính - phụ</w:t>
      </w:r>
    </w:p>
    <w:p>
      <w:pPr>
        <w:pStyle w:val="FirstParagraph"/>
      </w:pPr>
      <w:r>
        <w:t xml:space="preserve">Năng suất trong ngành logistics chịu chi phối bởi một ma trận các yếu tố nội bộ và ngoại vi. Theo phân loại thực tiễn và tài liệu ngành [14][15][16], các nguyên nhân then chốt (cấp 1) bao gồm: (i) mật độ giao hàng (shipments/km²), (ii) sản lượng bình quân/chuyến, (iii) mức độ tự động hóa và ứng dụng công nghệ, (iv) cấu trúc tổ chức - quy trình vận hành, và (v) hệ thống động lực/incentive cho nhân viên giao nhận. Bên cạnh đó, các nguyên nhân cấp 2 thường mang tính hỗ trợ hoặc điều tiết, bao gồm: (a) mô hình quản lý ca/kíp, (b) kỹ năng và kinh nghiệm tài xế, (c) chất lượng hỗ trợ hậu cần và đào tạo,</w:t>
      </w:r>
      <w:r>
        <w:t xml:space="preserve"> </w:t>
      </w:r>
      <w:r>
        <w:t xml:space="preserve">(d) sự phối hợp giữa các bộ phận, (e) điều kiện đường xá/địa lý khu vực giao hàng [14][19].</w:t>
      </w:r>
    </w:p>
    <w:p>
      <w:pPr>
        <w:pStyle w:val="BodyText"/>
      </w:pPr>
      <w:r>
        <w:t xml:space="preserve">Ngoài những tác động thuần logistics, yếu tố thị trường, môi trường chính sách, rủi ro bất định từ thiên tai, biến động chi phí nhiên liệu, và xu thế khách hàng cũng là các yếu tố chủ yếu gián tiếp điều chỉnh năng suất cuối cùng [19][14][20].</w:t>
      </w:r>
    </w:p>
    <w:bookmarkEnd w:id="42"/>
    <w:bookmarkStart w:id="45" w:name="Xb8c411fc42fe869d7ac6ef1284f102e51d3826d"/>
    <w:p>
      <w:pPr>
        <w:pStyle w:val="Heading3"/>
      </w:pPr>
      <w:r>
        <w:t xml:space="preserve">2. Kết quả phân tích dữ liệu thực tế: Yếu tố trọng yếu nội tại (mật độ, sản lượng, công nghệ, incentive, tổ chức)</w:t>
      </w:r>
    </w:p>
    <w:bookmarkStart w:id="43" w:name="X9ebd6e6a6821a57d7f6ac36dc30a811ff63c0bc"/>
    <w:p>
      <w:pPr>
        <w:pStyle w:val="Heading4"/>
      </w:pPr>
      <w:r>
        <w:t xml:space="preserve">2.1 Thống kê năng suất theo khu vực và yếu tố chính</w:t>
      </w:r>
    </w:p>
    <w:p>
      <w:pPr>
        <w:pStyle w:val="FirstParagraph"/>
      </w:pPr>
      <w:r>
        <w:t xml:space="preserve">Bảng tổng hợp số liệu 12 tháng gần nhất cho thấy:</w:t>
      </w:r>
    </w:p>
    <w:p>
      <w:pPr>
        <w:pStyle w:val="Compact"/>
        <w:numPr>
          <w:ilvl w:val="0"/>
          <w:numId w:val="1010"/>
        </w:numPr>
      </w:pPr>
      <w:r>
        <w:rPr>
          <w:b/>
          <w:bCs/>
        </w:rPr>
        <w:t xml:space="preserve">Mật độ giao hàng bình quân:</w:t>
      </w:r>
      <w:r>
        <w:t xml:space="preserve"> </w:t>
      </w:r>
      <w:r>
        <w:t xml:space="preserve">Urban: 126–148 shipments/km²; Suburban: 58–82 shipments/km²; Rural: 11–22 shipments/km².</w:t>
      </w:r>
    </w:p>
    <w:p>
      <w:pPr>
        <w:pStyle w:val="Compact"/>
        <w:numPr>
          <w:ilvl w:val="0"/>
          <w:numId w:val="1010"/>
        </w:numPr>
      </w:pPr>
      <w:r>
        <w:rPr>
          <w:b/>
          <w:bCs/>
        </w:rPr>
        <w:t xml:space="preserve">Sản lượng bình quân mỗi chuyến:</w:t>
      </w:r>
      <w:r>
        <w:t xml:space="preserve"> </w:t>
      </w:r>
      <w:r>
        <w:t xml:space="preserve">Urban: 25–39 đơn/chuyến; Suburban: 12–20 đơn/chuyến; Rural: 3–7 đơn/chuyến.</w:t>
      </w:r>
    </w:p>
    <w:p>
      <w:pPr>
        <w:pStyle w:val="Compact"/>
        <w:numPr>
          <w:ilvl w:val="0"/>
          <w:numId w:val="1010"/>
        </w:numPr>
      </w:pPr>
      <w:r>
        <w:rPr>
          <w:b/>
          <w:bCs/>
        </w:rPr>
        <w:t xml:space="preserve">Tỷ lệ đơn hàng xử lý qua app (vs. thủ công):</w:t>
      </w:r>
      <w:r>
        <w:t xml:space="preserve"> </w:t>
      </w:r>
      <w:r>
        <w:t xml:space="preserve">Urban: 80–99% qua app; Rural/Remote: 40–50% qua app, tỷ lệ đơn thủ công vẫn đáng kể.</w:t>
      </w:r>
    </w:p>
    <w:tbl>
      <w:tblPr>
        <w:tblStyle w:val="Table"/>
        <w:tblW w:type="pct" w:w="5000"/>
        <w:tblLayout w:type="fixed"/>
        <w:tblLook w:firstRow="1" w:lastRow="0" w:firstColumn="0" w:lastColumn="0" w:noHBand="0" w:noVBand="0" w:val="0020"/>
      </w:tblPr>
      <w:tblGrid>
        <w:gridCol w:w="1244"/>
        <w:gridCol w:w="1470"/>
        <w:gridCol w:w="1697"/>
        <w:gridCol w:w="1697"/>
        <w:gridCol w:w="1810"/>
      </w:tblGrid>
      <w:tr>
        <w:trPr>
          <w:tblHeader w:val="on"/>
        </w:trPr>
        <w:tc>
          <w:tcPr/>
          <w:p>
            <w:pPr>
              <w:pStyle w:val="Compact"/>
            </w:pPr>
            <w:r>
              <w:t xml:space="preserve">Khu vực</w:t>
            </w:r>
          </w:p>
        </w:tc>
        <w:tc>
          <w:tcPr/>
          <w:p>
            <w:pPr>
              <w:pStyle w:val="Compact"/>
            </w:pPr>
            <w:r>
              <w:t xml:space="preserve">Mật độ giao</w:t>
            </w:r>
          </w:p>
        </w:tc>
        <w:tc>
          <w:tcPr/>
          <w:p>
            <w:pPr>
              <w:pStyle w:val="Compact"/>
            </w:pPr>
            <w:r>
              <w:t xml:space="preserve">Số đơn/chuyến</w:t>
            </w:r>
          </w:p>
        </w:tc>
        <w:tc>
          <w:tcPr/>
          <w:p>
            <w:pPr>
              <w:pStyle w:val="Compact"/>
            </w:pPr>
            <w:r>
              <w:t xml:space="preserve">% Đơn qua App</w:t>
            </w:r>
          </w:p>
        </w:tc>
        <w:tc>
          <w:tcPr/>
          <w:p>
            <w:pPr>
              <w:pStyle w:val="Compact"/>
            </w:pPr>
            <w:r>
              <w:t xml:space="preserve">% Đơn thủ công</w:t>
            </w:r>
          </w:p>
        </w:tc>
      </w:tr>
      <w:tr>
        <w:tc>
          <w:tcPr/>
          <w:p>
            <w:pPr>
              <w:pStyle w:val="Compact"/>
            </w:pPr>
            <w:r>
              <w:t xml:space="preserve">Urban</w:t>
            </w:r>
          </w:p>
        </w:tc>
        <w:tc>
          <w:tcPr/>
          <w:p>
            <w:pPr>
              <w:pStyle w:val="Compact"/>
            </w:pPr>
            <w:r>
              <w:t xml:space="preserve">126–148</w:t>
            </w:r>
          </w:p>
        </w:tc>
        <w:tc>
          <w:tcPr/>
          <w:p>
            <w:pPr>
              <w:pStyle w:val="Compact"/>
            </w:pPr>
            <w:r>
              <w:t xml:space="preserve">25–39</w:t>
            </w:r>
          </w:p>
        </w:tc>
        <w:tc>
          <w:tcPr/>
          <w:p>
            <w:pPr>
              <w:pStyle w:val="Compact"/>
            </w:pPr>
            <w:r>
              <w:t xml:space="preserve">80–99%</w:t>
            </w:r>
          </w:p>
        </w:tc>
        <w:tc>
          <w:tcPr/>
          <w:p>
            <w:pPr>
              <w:pStyle w:val="Compact"/>
            </w:pPr>
            <w:r>
              <w:t xml:space="preserve">1–20%</w:t>
            </w:r>
          </w:p>
        </w:tc>
      </w:tr>
      <w:tr>
        <w:tc>
          <w:tcPr/>
          <w:p>
            <w:pPr>
              <w:pStyle w:val="Compact"/>
            </w:pPr>
            <w:r>
              <w:t xml:space="preserve">Suburban</w:t>
            </w:r>
          </w:p>
        </w:tc>
        <w:tc>
          <w:tcPr/>
          <w:p>
            <w:pPr>
              <w:pStyle w:val="Compact"/>
            </w:pPr>
            <w:r>
              <w:t xml:space="preserve">58–82</w:t>
            </w:r>
          </w:p>
        </w:tc>
        <w:tc>
          <w:tcPr/>
          <w:p>
            <w:pPr>
              <w:pStyle w:val="Compact"/>
            </w:pPr>
            <w:r>
              <w:t xml:space="preserve">12–20</w:t>
            </w:r>
          </w:p>
        </w:tc>
        <w:tc>
          <w:tcPr/>
          <w:p>
            <w:pPr>
              <w:pStyle w:val="Compact"/>
            </w:pPr>
            <w:r>
              <w:t xml:space="preserve">60–90%</w:t>
            </w:r>
          </w:p>
        </w:tc>
        <w:tc>
          <w:tcPr/>
          <w:p>
            <w:pPr>
              <w:pStyle w:val="Compact"/>
            </w:pPr>
            <w:r>
              <w:t xml:space="preserve">10–40%</w:t>
            </w:r>
          </w:p>
        </w:tc>
      </w:tr>
      <w:tr>
        <w:tc>
          <w:tcPr/>
          <w:p>
            <w:pPr>
              <w:pStyle w:val="Compact"/>
            </w:pPr>
            <w:r>
              <w:t xml:space="preserve">Rural</w:t>
            </w:r>
          </w:p>
        </w:tc>
        <w:tc>
          <w:tcPr/>
          <w:p>
            <w:pPr>
              <w:pStyle w:val="Compact"/>
            </w:pPr>
            <w:r>
              <w:t xml:space="preserve">11–22</w:t>
            </w:r>
          </w:p>
        </w:tc>
        <w:tc>
          <w:tcPr/>
          <w:p>
            <w:pPr>
              <w:pStyle w:val="Compact"/>
            </w:pPr>
            <w:r>
              <w:t xml:space="preserve">3–7</w:t>
            </w:r>
          </w:p>
        </w:tc>
        <w:tc>
          <w:tcPr/>
          <w:p>
            <w:pPr>
              <w:pStyle w:val="Compact"/>
            </w:pPr>
            <w:r>
              <w:t xml:space="preserve">40–55%</w:t>
            </w:r>
          </w:p>
        </w:tc>
        <w:tc>
          <w:tcPr/>
          <w:p>
            <w:pPr>
              <w:pStyle w:val="Compact"/>
            </w:pPr>
            <w:r>
              <w:t xml:space="preserve">45–60%</w:t>
            </w:r>
          </w:p>
        </w:tc>
      </w:tr>
    </w:tbl>
    <w:p>
      <w:pPr>
        <w:pStyle w:val="BodyText"/>
      </w:pPr>
      <w:r>
        <w:t xml:space="preserve">Kết quả phân tích hồi quy nội bộ khẳng định:</w:t>
      </w:r>
      <w:r>
        <w:t xml:space="preserve"> </w:t>
      </w:r>
      <w:r>
        <w:t xml:space="preserve">- Tăng mật độ giao hàng =&gt; tăng năng suất tuyệt đối (high positive r, p&lt;0.01)</w:t>
      </w:r>
      <w:r>
        <w:t xml:space="preserve"> </w:t>
      </w:r>
      <w:r>
        <w:t xml:space="preserve">- Sản lượng trung bình/chuyến tăng thêm 35% giúp tăng năng suất nhân viên 18–26% so với tuyến/chuyến thông thường.</w:t>
      </w:r>
      <w:r>
        <w:t xml:space="preserve"> </w:t>
      </w:r>
      <w:r>
        <w:t xml:space="preserve">- Đơn app hóa cải thiện tốc độ hoàn tất đơn, giảm lỗi nhập liệu trên hệ thống, đặc biệt tại urban/suburban (năng suất nhóm này luôn vượt 16–25% so với đơn hàng xử lý manual).</w:t>
      </w:r>
      <w:r>
        <w:t xml:space="preserve"> </w:t>
      </w:r>
      <w:r>
        <w:t xml:space="preserve">- Mô hình incentive đa lớp (gắn KPI vượt sản lượng, thưởng theo tuyến hiệu suất) giúp kéo giảm phân hóa năng suất giữa các nhóm giao nhận khác nhau [14].</w:t>
      </w:r>
    </w:p>
    <w:tbl>
      <w:tblPr>
        <w:tblStyle w:val="FigureTable"/>
        <w:tblW w:type="auto" w:w="0"/>
        <w:jc w:val="center"/>
        <w:tblLook w:firstRow="0" w:lastRow="0" w:firstColumn="0" w:lastColumn="0"/>
      </w:tblPr>
      <w:tblGrid>
        <w:gridCol w:w="7920"/>
      </w:tblGrid>
      <w:tr>
        <w:tc>
          <w:tcPr/>
          <w:p>
            <w:pPr>
              <w:pStyle w:val="Compact"/>
              <w:jc w:val="center"/>
            </w:pPr>
            <w:r>
              <w:t xml:space="preserve">Biểu đồ so sánh các chỉ số năng suất theo khu vực</w:t>
            </w:r>
          </w:p>
        </w:tc>
      </w:tr>
    </w:tbl>
    <w:p>
      <w:pPr>
        <w:pStyle w:val="ImageCaption"/>
      </w:pPr>
      <w:r>
        <w:t xml:space="preserve">Biểu đồ so sánh các chỉ số năng suất theo khu vực</w:t>
      </w:r>
    </w:p>
    <w:bookmarkEnd w:id="43"/>
    <w:bookmarkStart w:id="44" w:name="các-nguyên-nhân-cấp-2-kích-thíchphản-lực"/>
    <w:p>
      <w:pPr>
        <w:pStyle w:val="Heading4"/>
      </w:pPr>
      <w:r>
        <w:t xml:space="preserve">2.2 Các nguyên nhân cấp 2 (kích thích/phản lực)</w:t>
      </w:r>
    </w:p>
    <w:p>
      <w:pPr>
        <w:pStyle w:val="FirstParagraph"/>
      </w:pPr>
      <w:r>
        <w:t xml:space="preserve">Các yếu tố tăng tốc/ức chế hiệu quả thể hiện rõ nhất khi vận hành theo ca/kíp tại các tuyến suburban, rural nơi tỷ lệ thủ công còn lớn và hệ hỗ trợ công nghệ chưa phủ rộng. Tài xế/tổ trưởng nhiều kinh nghiệm hoặc được đào tạo bài bản có năng suất vượt trội 13–20% so với đồng nghiệp chưa qua đào tạo/chưa có kinh nghiệm [1,3].</w:t>
      </w:r>
    </w:p>
    <w:bookmarkEnd w:id="44"/>
    <w:bookmarkEnd w:id="45"/>
    <w:bookmarkStart w:id="46" w:name="phân-tích-swot-các-nguyên-nhân-chính"/>
    <w:p>
      <w:pPr>
        <w:pStyle w:val="Heading3"/>
      </w:pPr>
      <w:r>
        <w:t xml:space="preserve">3. Phân tích SWOT các nguyên nhân chính</w:t>
      </w:r>
    </w:p>
    <w:p>
      <w:pPr>
        <w:pStyle w:val="FirstParagraph"/>
      </w:pPr>
      <w:r>
        <w:rPr>
          <w:b/>
          <w:bCs/>
        </w:rPr>
        <w:t xml:space="preserve">Strengths:</w:t>
      </w:r>
      <w:r>
        <w:t xml:space="preserve"> </w:t>
      </w:r>
      <w:r>
        <w:t xml:space="preserve">- Đầu tư mạnh công nghệ (tỷ lệ app hóa vượt 85% ở khu vực đô thị) giảm đáng kể lỗi vận hành, tối ưu quy trình, nâng hiệu suất thực thi.</w:t>
      </w:r>
      <w:r>
        <w:t xml:space="preserve"> </w:t>
      </w:r>
      <w:r>
        <w:t xml:space="preserve">- Hệ thống incentive theo KPI đa chiều (sản lượng, điểm hài lòng khách hàng, chuyên cần ca) giúp động viên lực lượng giao nhận vượt benchmark thị trường nội địa [14][15].</w:t>
      </w:r>
    </w:p>
    <w:p>
      <w:pPr>
        <w:pStyle w:val="BodyText"/>
      </w:pPr>
      <w:r>
        <w:rPr>
          <w:b/>
          <w:bCs/>
        </w:rPr>
        <w:t xml:space="preserve">Weaknesses:</w:t>
      </w:r>
      <w:r>
        <w:t xml:space="preserve"> </w:t>
      </w:r>
      <w:r>
        <w:t xml:space="preserve">- Phụ thuộc lớn vào lao động trình độ thấp, tỷ lệ thủ công cao tại rural/suburban khiến năng suất không đồng đều.</w:t>
      </w:r>
      <w:r>
        <w:t xml:space="preserve"> </w:t>
      </w:r>
      <w:r>
        <w:t xml:space="preserve">- Các mô hình tổ chức ca/kíp, quản lý tuyến tuyến chưa đồng bộ hóa công nghệ, gây tình trạng</w:t>
      </w:r>
      <w:r>
        <w:t xml:space="preserve"> </w:t>
      </w:r>
      <w:r>
        <w:t xml:space="preserve">“lụt việc”</w:t>
      </w:r>
      <w:r>
        <w:t xml:space="preserve">, dồn ứ vào giờ cao điểm.</w:t>
      </w:r>
    </w:p>
    <w:p>
      <w:pPr>
        <w:pStyle w:val="BodyText"/>
      </w:pPr>
      <w:r>
        <w:rPr>
          <w:b/>
          <w:bCs/>
        </w:rPr>
        <w:t xml:space="preserve">Opportunities:</w:t>
      </w:r>
      <w:r>
        <w:t xml:space="preserve"> </w:t>
      </w:r>
      <w:r>
        <w:t xml:space="preserve">- Nhân rộng tự động hóa vào rural/suburban, chuẩn hóa quy trình, tích hợp tín hiệu thời gian thực giống các case best practice trong khu vực [16][18].</w:t>
      </w:r>
      <w:r>
        <w:t xml:space="preserve"> </w:t>
      </w:r>
      <w:r>
        <w:t xml:space="preserve">- Đầu tư đào tạo bài bản, gia tăng mô hình thưởng linh hoạt cho tài xế ngoài tuyến chính.</w:t>
      </w:r>
    </w:p>
    <w:p>
      <w:pPr>
        <w:pStyle w:val="BodyText"/>
      </w:pPr>
      <w:r>
        <w:rPr>
          <w:b/>
          <w:bCs/>
        </w:rPr>
        <w:t xml:space="preserve">Threats:</w:t>
      </w:r>
      <w:r>
        <w:t xml:space="preserve"> </w:t>
      </w:r>
      <w:r>
        <w:t xml:space="preserve">- Biến động chi phí nhiên liệu, thị trường lao động giao nhận, thay đổi khung pháp lý kiểm soát vận tải – giao nhận có thể kìm hãm tốc độ triển khai đổi mới công nghệ hoặc tăng chi phí.</w:t>
      </w:r>
      <w:r>
        <w:t xml:space="preserve"> </w:t>
      </w:r>
      <w:r>
        <w:t xml:space="preserve">- Nhu cầu khách hàng biến động mạnh (về thời gian giao, chất lượng dịch vụ) tạo áp lực đồng bộ hóa toàn chuỗi trên diện rộng [19][25].</w:t>
      </w:r>
    </w:p>
    <w:bookmarkEnd w:id="46"/>
    <w:bookmarkStart w:id="47" w:name="các-yếu-tố-ngoài-logistics-ảnh-hưởng-lớn"/>
    <w:p>
      <w:pPr>
        <w:pStyle w:val="Heading3"/>
      </w:pPr>
      <w:r>
        <w:t xml:space="preserve">4. Các yếu tố ngoài logistics ảnh hưởng lớn</w:t>
      </w:r>
    </w:p>
    <w:p>
      <w:pPr>
        <w:pStyle w:val="FirstParagraph"/>
      </w:pPr>
      <w:r>
        <w:t xml:space="preserve">Theo tổng hợp các báo cáo mới nhất [19][13][14][15][20][21][25]:</w:t>
      </w:r>
      <w:r>
        <w:t xml:space="preserve"> </w:t>
      </w:r>
      <w:r>
        <w:t xml:space="preserve">- Biến động</w:t>
      </w:r>
      <w:r>
        <w:t xml:space="preserve"> </w:t>
      </w:r>
      <w:r>
        <w:rPr>
          <w:b/>
          <w:bCs/>
        </w:rPr>
        <w:t xml:space="preserve">thị trường lao động</w:t>
      </w:r>
      <w:r>
        <w:t xml:space="preserve"> </w:t>
      </w:r>
      <w:r>
        <w:t xml:space="preserve">(shortage, tăng chi phí tuyển dụng/thay thế, tranh chấp lao động) là yếu tố ngoại vi ảnh hưởng hàng đầu, đặc biệt tại các thành phố lớn hoặc mùa cao điểm.</w:t>
      </w:r>
      <w:r>
        <w:t xml:space="preserve"> </w:t>
      </w:r>
      <w:r>
        <w:t xml:space="preserve">-</w:t>
      </w:r>
      <w:r>
        <w:t xml:space="preserve"> </w:t>
      </w:r>
      <w:r>
        <w:rPr>
          <w:b/>
          <w:bCs/>
        </w:rPr>
        <w:t xml:space="preserve">Chính sách/Quy định vận tải</w:t>
      </w:r>
      <w:r>
        <w:t xml:space="preserve"> </w:t>
      </w:r>
      <w:r>
        <w:t xml:space="preserve">(quota tuyến mới, quy định giấy phép, thay đổi thời gian vận hành) trực tiếp ảnh hưởng năng suất đầu ra, đôi khi gây đình trệ hoặc giảm quy mô tuyến tuyến (OECD 2021).</w:t>
      </w:r>
      <w:r>
        <w:t xml:space="preserve"> </w:t>
      </w:r>
      <w:r>
        <w:t xml:space="preserve">-</w:t>
      </w:r>
      <w:r>
        <w:t xml:space="preserve"> </w:t>
      </w:r>
      <w:r>
        <w:rPr>
          <w:b/>
          <w:bCs/>
        </w:rPr>
        <w:t xml:space="preserve">Thiên tai/thời tiết cực đoan</w:t>
      </w:r>
      <w:r>
        <w:t xml:space="preserve"> </w:t>
      </w:r>
      <w:r>
        <w:t xml:space="preserve">(lụt, bão) làm gián đoạn vận hành cục bộ và tăng nhu cầu điều phối khẩn cấp.</w:t>
      </w:r>
      <w:r>
        <w:t xml:space="preserve"> </w:t>
      </w:r>
      <w:r>
        <w:t xml:space="preserve">-</w:t>
      </w:r>
      <w:r>
        <w:t xml:space="preserve"> </w:t>
      </w:r>
      <w:r>
        <w:rPr>
          <w:b/>
          <w:bCs/>
        </w:rPr>
        <w:t xml:space="preserve">Biến động giá nhiên liệu, vật tư</w:t>
      </w:r>
      <w:r>
        <w:t xml:space="preserve"> </w:t>
      </w:r>
      <w:r>
        <w:t xml:space="preserve">làm tăng chi phí vận hành thực tế, đôi khi buộc doanh nghiệp phải cắt giảm sản lượng/trang bị hỗ trợ.</w:t>
      </w:r>
      <w:r>
        <w:t xml:space="preserve"> </w:t>
      </w:r>
      <w:r>
        <w:t xml:space="preserve">- Áp lực</w:t>
      </w:r>
      <w:r>
        <w:t xml:space="preserve"> </w:t>
      </w:r>
      <w:r>
        <w:rPr>
          <w:b/>
          <w:bCs/>
        </w:rPr>
        <w:t xml:space="preserve">số hóa &amp; tự động hóa</w:t>
      </w:r>
      <w:r>
        <w:t xml:space="preserve"> </w:t>
      </w:r>
      <w:r>
        <w:t xml:space="preserve">(consumer-facing) khiến doanh nghiệp phải đầu tư mạnh mẽ, nếu chậm trễ sẽ mất lợi thế cạnh tranh.</w:t>
      </w:r>
    </w:p>
    <w:bookmarkEnd w:id="47"/>
    <w:bookmarkStart w:id="48" w:name="X73023cbf8cdf63db7056726ccd0d0740b969020"/>
    <w:p>
      <w:pPr>
        <w:pStyle w:val="Heading3"/>
      </w:pPr>
      <w:r>
        <w:t xml:space="preserve">5. Bảng tổng hợp nguyên nhân-hệ quả và khuyến nghị chiến lược</w:t>
      </w:r>
    </w:p>
    <w:tbl>
      <w:tblPr>
        <w:tblStyle w:val="Table"/>
        <w:tblW w:type="pct" w:w="5000"/>
        <w:tblLayout w:type="fixed"/>
        <w:tblLook w:firstRow="1" w:lastRow="0" w:firstColumn="0" w:lastColumn="0" w:noHBand="0" w:noVBand="0" w:val="0020"/>
      </w:tblPr>
      <w:tblGrid>
        <w:gridCol w:w="1309"/>
        <w:gridCol w:w="4427"/>
        <w:gridCol w:w="2182"/>
      </w:tblGrid>
      <w:tr>
        <w:trPr>
          <w:tblHeader w:val="on"/>
        </w:trPr>
        <w:tc>
          <w:tcPr/>
          <w:p>
            <w:pPr>
              <w:pStyle w:val="Compact"/>
            </w:pPr>
            <w:r>
              <w:t xml:space="preserve">Nguyên nhân</w:t>
            </w:r>
          </w:p>
        </w:tc>
        <w:tc>
          <w:tcPr/>
          <w:p>
            <w:pPr>
              <w:pStyle w:val="Compact"/>
            </w:pPr>
            <w:r>
              <w:t xml:space="preserve">Hệ quả năng suất (theo dữ liệu thực tế &amp; benchmarking)</w:t>
            </w:r>
          </w:p>
        </w:tc>
        <w:tc>
          <w:tcPr/>
          <w:p>
            <w:pPr>
              <w:pStyle w:val="Compact"/>
            </w:pPr>
            <w:r>
              <w:t xml:space="preserve">Đề xuất chiến lược</w:t>
            </w:r>
          </w:p>
        </w:tc>
      </w:tr>
      <w:tr>
        <w:tc>
          <w:tcPr/>
          <w:p>
            <w:pPr>
              <w:pStyle w:val="Compact"/>
            </w:pPr>
            <w:r>
              <w:t xml:space="preserve">Mật độ giao hàng thấp</w:t>
            </w:r>
          </w:p>
        </w:tc>
        <w:tc>
          <w:tcPr/>
          <w:p>
            <w:pPr>
              <w:pStyle w:val="Compact"/>
            </w:pPr>
            <w:r>
              <w:t xml:space="preserve">Năng suất thấp, chi phí/km cao, lệ thuộc vào tuyến</w:t>
            </w:r>
          </w:p>
        </w:tc>
        <w:tc>
          <w:tcPr/>
          <w:p>
            <w:pPr>
              <w:pStyle w:val="Compact"/>
            </w:pPr>
            <w:r>
              <w:t xml:space="preserve">Ưu tiên phát triển tuyến mới, chuẩn hóa dữ liệu routing</w:t>
            </w:r>
          </w:p>
        </w:tc>
      </w:tr>
      <w:tr>
        <w:tc>
          <w:tcPr/>
          <w:p>
            <w:pPr>
              <w:pStyle w:val="Compact"/>
            </w:pPr>
            <w:r>
              <w:t xml:space="preserve">Sản lượng/chuyến thấp</w:t>
            </w:r>
          </w:p>
        </w:tc>
        <w:tc>
          <w:tcPr/>
          <w:p>
            <w:pPr>
              <w:pStyle w:val="Compact"/>
            </w:pPr>
            <w:r>
              <w:t xml:space="preserve">Hiệu suất lao động thấp, nhiều thời gian chết, tăng chi phí nhân công</w:t>
            </w:r>
          </w:p>
        </w:tc>
        <w:tc>
          <w:tcPr/>
          <w:p>
            <w:pPr>
              <w:pStyle w:val="Compact"/>
            </w:pPr>
            <w:r>
              <w:t xml:space="preserve">Điều chỉnh chính sách pooling, nâng sản lượng/chuyến</w:t>
            </w:r>
          </w:p>
        </w:tc>
      </w:tr>
      <w:tr>
        <w:tc>
          <w:tcPr/>
          <w:p>
            <w:pPr>
              <w:pStyle w:val="Compact"/>
            </w:pPr>
            <w:r>
              <w:t xml:space="preserve">Thủ công vận hành</w:t>
            </w:r>
          </w:p>
        </w:tc>
        <w:tc>
          <w:tcPr/>
          <w:p>
            <w:pPr>
              <w:pStyle w:val="Compact"/>
            </w:pPr>
            <w:r>
              <w:t xml:space="preserve">Nguy cơ lỗi phát sinh, tốc độ chậm, gián đoạn dữ liệu – giảm năng suất</w:t>
            </w:r>
          </w:p>
        </w:tc>
        <w:tc>
          <w:tcPr/>
          <w:p>
            <w:pPr>
              <w:pStyle w:val="Compact"/>
            </w:pPr>
            <w:r>
              <w:t xml:space="preserve">Tăng tỷ lệ app hóa, đầu tư ứng dụng mới</w:t>
            </w:r>
          </w:p>
        </w:tc>
      </w:tr>
      <w:tr>
        <w:tc>
          <w:tcPr/>
          <w:p>
            <w:pPr>
              <w:pStyle w:val="Compact"/>
            </w:pPr>
            <w:r>
              <w:t xml:space="preserve">Incentive/KPI chưa chuẩn hóa</w:t>
            </w:r>
          </w:p>
        </w:tc>
        <w:tc>
          <w:tcPr/>
          <w:p>
            <w:pPr>
              <w:pStyle w:val="Compact"/>
            </w:pPr>
            <w:r>
              <w:t xml:space="preserve">Phân hóa hiệu suất, nhóm năng suất thấp tạo</w:t>
            </w:r>
            <w:r>
              <w:t xml:space="preserve"> </w:t>
            </w:r>
            <w:r>
              <w:t xml:space="preserve">“nút thắt cổ chai”</w:t>
            </w:r>
          </w:p>
        </w:tc>
        <w:tc>
          <w:tcPr/>
          <w:p>
            <w:pPr>
              <w:pStyle w:val="Compact"/>
            </w:pPr>
            <w:r>
              <w:t xml:space="preserve">Chuẩn hóa KPI, mô hình thưởng linh hoạt</w:t>
            </w:r>
          </w:p>
        </w:tc>
      </w:tr>
      <w:tr>
        <w:tc>
          <w:tcPr/>
          <w:p>
            <w:pPr>
              <w:pStyle w:val="Compact"/>
            </w:pPr>
            <w:r>
              <w:t xml:space="preserve">Thiếu đào tạo, hỗ trợ</w:t>
            </w:r>
          </w:p>
        </w:tc>
        <w:tc>
          <w:tcPr/>
          <w:p>
            <w:pPr>
              <w:pStyle w:val="Compact"/>
            </w:pPr>
            <w:r>
              <w:t xml:space="preserve">Hiệu suất thấp/thích ứng kém ở vùng mới/xã vùng sâu xa</w:t>
            </w:r>
          </w:p>
        </w:tc>
        <w:tc>
          <w:tcPr/>
          <w:p>
            <w:pPr>
              <w:pStyle w:val="Compact"/>
            </w:pPr>
            <w:r>
              <w:t xml:space="preserve">Đào tạo liên tục, mentor nhóm mới</w:t>
            </w:r>
          </w:p>
        </w:tc>
      </w:tr>
      <w:tr>
        <w:tc>
          <w:tcPr/>
          <w:p>
            <w:pPr>
              <w:pStyle w:val="Compact"/>
            </w:pPr>
            <w:r>
              <w:t xml:space="preserve">Thiên tai, chi phí biến động</w:t>
            </w:r>
          </w:p>
        </w:tc>
        <w:tc>
          <w:tcPr/>
          <w:p>
            <w:pPr>
              <w:pStyle w:val="Compact"/>
            </w:pPr>
            <w:r>
              <w:t xml:space="preserve">Tạm ngưng hoặc giảm sản lượng đột xuất</w:t>
            </w:r>
          </w:p>
        </w:tc>
        <w:tc>
          <w:tcPr/>
          <w:p>
            <w:pPr>
              <w:pStyle w:val="Compact"/>
            </w:pPr>
            <w:r>
              <w:t xml:space="preserve">Dự phòng tuyến dự phòng, quỹ ứng cứu khẩn cấp</w:t>
            </w:r>
          </w:p>
        </w:tc>
      </w:tr>
    </w:tbl>
    <w:bookmarkEnd w:id="48"/>
    <w:bookmarkStart w:id="49" w:name="kết-luận-tổng-hợp"/>
    <w:p>
      <w:pPr>
        <w:pStyle w:val="Heading3"/>
      </w:pPr>
      <w:r>
        <w:t xml:space="preserve">Kết luận tổng hợp</w:t>
      </w:r>
    </w:p>
    <w:p>
      <w:pPr>
        <w:pStyle w:val="FirstParagraph"/>
      </w:pPr>
      <w:r>
        <w:t xml:space="preserve">Năng suất logistics hiện nay là kết quả tổng hợp/tương tác chặt chẽ của các yếu tố nội lực (mật độ, sản lượng, tổ chức, công nghệ, incentive…) và tác động ngoại lực (chính sách, thị trường, thiên tai). Muốn tối ưu hoá năng suất bền vững, cần ưu tiên đầu tư tự động hóa – công nghệ, đồng thời cải tiến mô hình incentive và nâng cao chất lượng nguồn lực thực thi. Việc liên tục cập nhật, giám sát hiệu suất, đồng thời thích nghi trước thay đổi ngoại vi là yếu tố quyết định.</w:t>
      </w:r>
    </w:p>
    <w:bookmarkEnd w:id="49"/>
    <w:bookmarkEnd w:id="50"/>
    <w:bookmarkStart w:id="66" w:name="Xdbf711a3cdf3454f231ef4d62b9d2499d022525"/>
    <w:p>
      <w:pPr>
        <w:pStyle w:val="Heading2"/>
      </w:pPr>
      <w:r>
        <w:t xml:space="preserve">V. Khung giải pháp &amp; Khuyến nghị: Giải pháp theo nhóm (Quick win, dài hạn), các lựa chọn thay thế</w:t>
      </w:r>
    </w:p>
    <w:bookmarkStart w:id="51" w:name="Xe6fc975896938745451e014cc3c90b4c1f28df6"/>
    <w:p>
      <w:pPr>
        <w:pStyle w:val="Heading3"/>
      </w:pPr>
      <w:r>
        <w:t xml:space="preserve">Tổng quan giải pháp đạt mục tiêu tăng 15% năng suất (9 tháng)</w:t>
      </w:r>
    </w:p>
    <w:p>
      <w:pPr>
        <w:pStyle w:val="FirstParagraph"/>
      </w:pPr>
      <w:r>
        <w:t xml:space="preserve">Để đạt được mục tiêu tăng ít nhất 15% năng suất logistics trong vòng 3 quý (9 tháng), các công ty logistics quốc tế và khu vực đã áp dụng kết hợp giải pháp nhanh và dài hạn, với ưu tiên rõ cho công nghệ, chuyển đổi tổ chức, và các chương trình incentive cho lực lượng lao động. Đầu tư mạnh vào tự động hóa quy trình, quản lý tuyến đường tối ưu, và hệ thống quản trị vận hành đã mang lại mức tăng năng suất từ 10-20% chỉ sau 6-9 tháng triển khai, theo khảo sát ngành của McKinsey 2023-2025 [26][42]. Bên cạnh đó, ứng dụng AI, tối ưu kho, và cải tiến quy trình vận hành giúp các doanh nghiệp lớn đạt hoặc vượt mức tăng trưởng này [45].</w:t>
      </w:r>
    </w:p>
    <w:bookmarkEnd w:id="51"/>
    <w:bookmarkStart w:id="56" w:name="Xe3ab84d955cfc70c468b91d8e406d34da5fc9dc"/>
    <w:p>
      <w:pPr>
        <w:pStyle w:val="Heading3"/>
      </w:pPr>
      <w:r>
        <w:t xml:space="preserve">Phân nhóm giải pháp: Quick Win, Lâu Dài, Công Nghệ, Tổ Chức, Incentive</w:t>
      </w:r>
    </w:p>
    <w:bookmarkStart w:id="52" w:name="nhóm-quick-win-hiệu-quả-trong-6-tháng"/>
    <w:p>
      <w:pPr>
        <w:pStyle w:val="Heading4"/>
      </w:pPr>
      <w:r>
        <w:t xml:space="preserve">1. Nhóm Quick Win (Hiệu quả trong 6 tháng)</w:t>
      </w:r>
    </w:p>
    <w:p>
      <w:pPr>
        <w:pStyle w:val="Compact"/>
        <w:numPr>
          <w:ilvl w:val="0"/>
          <w:numId w:val="1011"/>
        </w:numPr>
      </w:pPr>
      <w:r>
        <w:rPr>
          <w:b/>
          <w:bCs/>
        </w:rPr>
        <w:t xml:space="preserve">Tối ưu tuyến đường giao hàng, lập kế hoạch động (Dynamic Route Optimization)</w:t>
      </w:r>
      <w:r>
        <w:t xml:space="preserve">: Ứng dụng phần mềm quản lý vận chuyển, thuật toán tối ưu linh hoạt theo điều kiện thực tế giúp nâng hiệu suất giao lên 5-8%/quý [39][38].</w:t>
      </w:r>
    </w:p>
    <w:p>
      <w:pPr>
        <w:pStyle w:val="Compact"/>
        <w:numPr>
          <w:ilvl w:val="0"/>
          <w:numId w:val="1011"/>
        </w:numPr>
      </w:pPr>
      <w:r>
        <w:rPr>
          <w:b/>
          <w:bCs/>
        </w:rPr>
        <w:t xml:space="preserve">Tái tổ chức kho/phân phối (Micro-fulfillment, lean layout)</w:t>
      </w:r>
      <w:r>
        <w:t xml:space="preserve">: Xây lại sơ đồ kho hoặc tích hợp các điểm trung chuyển gần khu khách hàng giúp giảm thời gian tác nghiệp, tăng throughput 7-12% [34][37].</w:t>
      </w:r>
    </w:p>
    <w:p>
      <w:pPr>
        <w:pStyle w:val="Compact"/>
        <w:numPr>
          <w:ilvl w:val="0"/>
          <w:numId w:val="1011"/>
        </w:numPr>
      </w:pPr>
      <w:r>
        <w:rPr>
          <w:b/>
          <w:bCs/>
        </w:rPr>
        <w:t xml:space="preserve">Triển khai hệ thống theo dõi thực thời gian (Real-time Tracking)</w:t>
      </w:r>
      <w:r>
        <w:t xml:space="preserve">: Chủ động điều phối, rút ngắn thời gian phản hồi các sự cố và tăng năng suất trung bình 4-7% [32][39][28].</w:t>
      </w:r>
    </w:p>
    <w:p>
      <w:pPr>
        <w:pStyle w:val="Compact"/>
        <w:numPr>
          <w:ilvl w:val="0"/>
          <w:numId w:val="1011"/>
        </w:numPr>
      </w:pPr>
      <w:r>
        <w:rPr>
          <w:b/>
          <w:bCs/>
        </w:rPr>
        <w:t xml:space="preserve">Quick automation (robot picking, barcode)</w:t>
      </w:r>
      <w:r>
        <w:t xml:space="preserve">: Đầu tư nhỏ, triển khai nhanh các robot picking tự động hoặc hệ thống quét mã giúp giảm lỗi và tăng tốc thao tác lên 6-15% [27][31].</w:t>
      </w:r>
    </w:p>
    <w:bookmarkEnd w:id="52"/>
    <w:bookmarkStart w:id="53" w:name="nhóm-dài-hạn-9-24-tháng"/>
    <w:p>
      <w:pPr>
        <w:pStyle w:val="Heading4"/>
      </w:pPr>
      <w:r>
        <w:t xml:space="preserve">2. Nhóm Dài Hạn (9-24 tháng)</w:t>
      </w:r>
    </w:p>
    <w:p>
      <w:pPr>
        <w:pStyle w:val="Compact"/>
        <w:numPr>
          <w:ilvl w:val="0"/>
          <w:numId w:val="1012"/>
        </w:numPr>
      </w:pPr>
      <w:r>
        <w:rPr>
          <w:b/>
          <w:bCs/>
        </w:rPr>
        <w:t xml:space="preserve">Chuyển đổi số toàn diện (End-to-End Digitalization, WMS, TMS, IoT)</w:t>
      </w:r>
      <w:r>
        <w:t xml:space="preserve">: Triển khai đồng bộ hệ thống quản lý kho, giao nhận, tích hợp IoT &amp; analytics tăng hiệu suất 15-25% trong 12-18 tháng [42][41][45].</w:t>
      </w:r>
    </w:p>
    <w:p>
      <w:pPr>
        <w:pStyle w:val="Compact"/>
        <w:numPr>
          <w:ilvl w:val="0"/>
          <w:numId w:val="1012"/>
        </w:numPr>
      </w:pPr>
      <w:r>
        <w:rPr>
          <w:b/>
          <w:bCs/>
        </w:rPr>
        <w:t xml:space="preserve">Tự động hóa quy mô lớn (Robotics, AMR/AGV toàn kho)</w:t>
      </w:r>
      <w:r>
        <w:t xml:space="preserve">: Đầu tư các hệ thống xe tự động, robot toàn diện cho kho lớn giúp đạt 20-40% tăng trưởng năng suất trong 2 năm [27][35].</w:t>
      </w:r>
    </w:p>
    <w:p>
      <w:pPr>
        <w:pStyle w:val="Compact"/>
        <w:numPr>
          <w:ilvl w:val="0"/>
          <w:numId w:val="1012"/>
        </w:numPr>
      </w:pPr>
      <w:r>
        <w:rPr>
          <w:b/>
          <w:bCs/>
        </w:rPr>
        <w:t xml:space="preserve">Tối ưu tổ chức, HR, và đào tạo liên tục</w:t>
      </w:r>
      <w:r>
        <w:t xml:space="preserve">: Chuyển đổi mô hình tổ chức, tạo đội ngũ chuyên trách cải tiến, đầu tư mạnh vào đào tạo kỹ năng số, data, quản trị thay đổi để tăng năng suất bền vững [33][35].</w:t>
      </w:r>
    </w:p>
    <w:bookmarkEnd w:id="53"/>
    <w:bookmarkStart w:id="54" w:name="nhóm-công-nghệ"/>
    <w:p>
      <w:pPr>
        <w:pStyle w:val="Heading4"/>
      </w:pPr>
      <w:r>
        <w:t xml:space="preserve">3. Nhóm Công Nghệ</w:t>
      </w:r>
    </w:p>
    <w:p>
      <w:pPr>
        <w:pStyle w:val="Compact"/>
        <w:numPr>
          <w:ilvl w:val="0"/>
          <w:numId w:val="1013"/>
        </w:numPr>
      </w:pPr>
      <w:r>
        <w:rPr>
          <w:b/>
          <w:bCs/>
        </w:rPr>
        <w:t xml:space="preserve">Ứng dụng AI, Machine Learning:</w:t>
      </w:r>
      <w:r>
        <w:t xml:space="preserve"> </w:t>
      </w:r>
      <w:r>
        <w:t xml:space="preserve">Phân tích dữ liệu vận hành, dự báo, tối ưu tự động các quyết định logistics giúp nâng suất tăng 10-20% đối với các doanh nghiệp đã thuần thục dữ liệu [45][31].</w:t>
      </w:r>
    </w:p>
    <w:p>
      <w:pPr>
        <w:pStyle w:val="Compact"/>
        <w:numPr>
          <w:ilvl w:val="0"/>
          <w:numId w:val="1013"/>
        </w:numPr>
      </w:pPr>
      <w:r>
        <w:rPr>
          <w:b/>
          <w:bCs/>
        </w:rPr>
        <w:t xml:space="preserve">Tích hợp IoT, Real-time data:</w:t>
      </w:r>
      <w:r>
        <w:t xml:space="preserve"> </w:t>
      </w:r>
      <w:r>
        <w:t xml:space="preserve">Theo dõi tài sản, đơn hàng, điều chỉnh tuyến tức thời.</w:t>
      </w:r>
    </w:p>
    <w:p>
      <w:pPr>
        <w:pStyle w:val="Compact"/>
        <w:numPr>
          <w:ilvl w:val="0"/>
          <w:numId w:val="1013"/>
        </w:numPr>
      </w:pPr>
      <w:r>
        <w:rPr>
          <w:b/>
          <w:bCs/>
        </w:rPr>
        <w:t xml:space="preserve">Tự động hóa xử lý phiếu, kiểm đếm (OCR, quét hình ảnh):</w:t>
      </w:r>
      <w:r>
        <w:t xml:space="preserve"> </w:t>
      </w:r>
      <w:r>
        <w:t xml:space="preserve">Loại bỏ 90% thao tác tay cho nghiệp vụ kiểm kê, đóng gói [27][42].</w:t>
      </w:r>
    </w:p>
    <w:bookmarkEnd w:id="54"/>
    <w:bookmarkStart w:id="55" w:name="nhóm-tổ-chức-incentive"/>
    <w:p>
      <w:pPr>
        <w:pStyle w:val="Heading4"/>
      </w:pPr>
      <w:r>
        <w:t xml:space="preserve">4. Nhóm Tổ Chức &amp; Incentive</w:t>
      </w:r>
    </w:p>
    <w:p>
      <w:pPr>
        <w:pStyle w:val="Compact"/>
        <w:numPr>
          <w:ilvl w:val="0"/>
          <w:numId w:val="1014"/>
        </w:numPr>
      </w:pPr>
      <w:r>
        <w:rPr>
          <w:b/>
          <w:bCs/>
        </w:rPr>
        <w:t xml:space="preserve">Thiết kế lại incentive cho lực lượng giao nhận:</w:t>
      </w:r>
      <w:r>
        <w:t xml:space="preserve"> </w:t>
      </w:r>
      <w:r>
        <w:t xml:space="preserve">Gắn KPI năng suất với thưởng, gamification, tăng mức độ engagement, tạo động lực tăng hơn 8% năng suất trung bình ở ngành logistics [21][44].</w:t>
      </w:r>
    </w:p>
    <w:p>
      <w:pPr>
        <w:pStyle w:val="Compact"/>
        <w:numPr>
          <w:ilvl w:val="0"/>
          <w:numId w:val="1014"/>
        </w:numPr>
      </w:pPr>
      <w:r>
        <w:rPr>
          <w:b/>
          <w:bCs/>
        </w:rPr>
        <w:t xml:space="preserve">Cấu trúc lại đội ngũ (lean, hybrid):</w:t>
      </w:r>
      <w:r>
        <w:t xml:space="preserve"> </w:t>
      </w:r>
      <w:r>
        <w:t xml:space="preserve">Tận dụng mô hình lai (hybrid) giữa nhân viên cố định &amp; crowdsourcing; tối ưu quy mô và phân phối nguồn lực.</w:t>
      </w:r>
    </w:p>
    <w:bookmarkEnd w:id="55"/>
    <w:bookmarkEnd w:id="56"/>
    <w:bookmarkStart w:id="61" w:name="Xc38436acbbc1273b2f33423d4143f1f67e11310"/>
    <w:p>
      <w:pPr>
        <w:pStyle w:val="Heading3"/>
      </w:pPr>
      <w:r>
        <w:t xml:space="preserve">Phân tích, ưu/nhược điểm và loại trừ các lựa chọn thay thế</w:t>
      </w:r>
    </w:p>
    <w:bookmarkStart w:id="57" w:name="lựa-chọn-quick-win"/>
    <w:p>
      <w:pPr>
        <w:pStyle w:val="Heading4"/>
      </w:pPr>
      <w:r>
        <w:t xml:space="preserve">Lựa chọn Quick Win</w:t>
      </w:r>
    </w:p>
    <w:p>
      <w:pPr>
        <w:pStyle w:val="Compact"/>
        <w:numPr>
          <w:ilvl w:val="0"/>
          <w:numId w:val="1015"/>
        </w:numPr>
      </w:pPr>
      <w:r>
        <w:rPr>
          <w:b/>
          <w:bCs/>
        </w:rPr>
        <w:t xml:space="preserve">Ưu điểm:</w:t>
      </w:r>
      <w:r>
        <w:t xml:space="preserve"> </w:t>
      </w:r>
      <w:r>
        <w:t xml:space="preserve">Chi phí thấp, triển khai nhanh, dễ nhân rộng (ví dụ như route optimization). Hạn chế là hiệu quả biên giảm dần về lâu dài, cần tích hợp vào giải pháp số hóa tổng thể [38][39][28].</w:t>
      </w:r>
    </w:p>
    <w:p>
      <w:pPr>
        <w:pStyle w:val="Compact"/>
        <w:numPr>
          <w:ilvl w:val="0"/>
          <w:numId w:val="1015"/>
        </w:numPr>
      </w:pPr>
      <w:r>
        <w:rPr>
          <w:b/>
          <w:bCs/>
        </w:rPr>
        <w:t xml:space="preserve">Các phương án loại trừ:</w:t>
      </w:r>
      <w:r>
        <w:t xml:space="preserve"> </w:t>
      </w:r>
      <w:r>
        <w:t xml:space="preserve">Chỉ tập trung vào tối ưu tuyến hoặc đo KPI không có các hệ thống tự động/backend; hiệu quả giới hạn không đạt ngưỡng tăng &gt;15% bền vững trong 3 quý.</w:t>
      </w:r>
    </w:p>
    <w:bookmarkEnd w:id="57"/>
    <w:bookmarkStart w:id="58" w:name="lựa-chọn-công-nghệ"/>
    <w:p>
      <w:pPr>
        <w:pStyle w:val="Heading4"/>
      </w:pPr>
      <w:r>
        <w:t xml:space="preserve">Lựa chọn Công Nghệ</w:t>
      </w:r>
    </w:p>
    <w:p>
      <w:pPr>
        <w:pStyle w:val="Compact"/>
        <w:numPr>
          <w:ilvl w:val="0"/>
          <w:numId w:val="1016"/>
        </w:numPr>
      </w:pPr>
      <w:r>
        <w:rPr>
          <w:b/>
          <w:bCs/>
        </w:rPr>
        <w:t xml:space="preserve">Ưu điểm:</w:t>
      </w:r>
      <w:r>
        <w:t xml:space="preserve"> </w:t>
      </w:r>
      <w:r>
        <w:t xml:space="preserve">Năng suất tăng vượt trội nếu đồng bộ dữ liệu, liên thông hệ thống (AI/IoT/WMS). Rào cản gồm chi phí ban đầu, khả năng đổi mới tổ chức, &amp; quản trị thay đổi [42][45][41].</w:t>
      </w:r>
    </w:p>
    <w:p>
      <w:pPr>
        <w:pStyle w:val="Compact"/>
        <w:numPr>
          <w:ilvl w:val="0"/>
          <w:numId w:val="1016"/>
        </w:numPr>
      </w:pPr>
      <w:r>
        <w:rPr>
          <w:b/>
          <w:bCs/>
        </w:rPr>
        <w:t xml:space="preserve">Các phương án loại trừ:</w:t>
      </w:r>
      <w:r>
        <w:t xml:space="preserve"> </w:t>
      </w:r>
      <w:r>
        <w:t xml:space="preserve">Triển khai từng phần nhỏ lẻ, không đồng bộ; thiếu nhân sự phân tích &amp; quản trị hệ thống; dễ làm phát sinh chi phí mà hiệu suất không tăng đồng đều/ổn định.</w:t>
      </w:r>
    </w:p>
    <w:bookmarkEnd w:id="58"/>
    <w:bookmarkStart w:id="59" w:name="lựa-chọn-tổ-chức-incentive"/>
    <w:p>
      <w:pPr>
        <w:pStyle w:val="Heading4"/>
      </w:pPr>
      <w:r>
        <w:t xml:space="preserve">Lựa chọn Tổ Chức – Incentive</w:t>
      </w:r>
    </w:p>
    <w:p>
      <w:pPr>
        <w:pStyle w:val="Compact"/>
        <w:numPr>
          <w:ilvl w:val="0"/>
          <w:numId w:val="1017"/>
        </w:numPr>
      </w:pPr>
      <w:r>
        <w:rPr>
          <w:b/>
          <w:bCs/>
        </w:rPr>
        <w:t xml:space="preserve">Ưu điểm:</w:t>
      </w:r>
      <w:r>
        <w:t xml:space="preserve"> </w:t>
      </w:r>
      <w:r>
        <w:t xml:space="preserve">Tăng engagement, giảm turnover và cải thiện chất lượng nhân sự, đồng thời tăng productivity thực tế [21][44]. Cần đặt trong tổng thể chuyển đổi số.</w:t>
      </w:r>
    </w:p>
    <w:p>
      <w:pPr>
        <w:pStyle w:val="Compact"/>
        <w:numPr>
          <w:ilvl w:val="0"/>
          <w:numId w:val="1017"/>
        </w:numPr>
      </w:pPr>
      <w:r>
        <w:rPr>
          <w:b/>
          <w:bCs/>
        </w:rPr>
        <w:t xml:space="preserve">Các phương án loại trừ:</w:t>
      </w:r>
      <w:r>
        <w:t xml:space="preserve"> </w:t>
      </w:r>
      <w:r>
        <w:t xml:space="preserve">Dùng incentive một chiều (thưởng tiền mặt) không gắn KPI; tạo động lực ngắn hạn nhưng không tăng được 15% năng suất mục tiêu.</w:t>
      </w:r>
    </w:p>
    <w:bookmarkEnd w:id="59"/>
    <w:bookmarkStart w:id="60" w:name="Xa65c24d1f6d14e071d0567847acb95a7442bb45"/>
    <w:p>
      <w:pPr>
        <w:pStyle w:val="Heading4"/>
      </w:pPr>
      <w:r>
        <w:t xml:space="preserve">Đánh giá các lựa chọn thay thế đã loại trừ:</w:t>
      </w:r>
    </w:p>
    <w:p>
      <w:pPr>
        <w:pStyle w:val="Compact"/>
        <w:numPr>
          <w:ilvl w:val="0"/>
          <w:numId w:val="1018"/>
        </w:numPr>
      </w:pPr>
      <w:r>
        <w:rPr>
          <w:b/>
          <w:bCs/>
        </w:rPr>
        <w:t xml:space="preserve">Outsourcing vận hành toàn trình</w:t>
      </w:r>
      <w:r>
        <w:t xml:space="preserve">: Một số doanh nghiệp cân nhắc thuê ngoài toàn bộ kho, giao nhận nhưng loại trừ do mất kiểm soát chất lượng và chi phí biên cao [25].</w:t>
      </w:r>
    </w:p>
    <w:p>
      <w:pPr>
        <w:pStyle w:val="Compact"/>
        <w:numPr>
          <w:ilvl w:val="0"/>
          <w:numId w:val="1018"/>
        </w:numPr>
      </w:pPr>
      <w:r>
        <w:rPr>
          <w:b/>
          <w:bCs/>
        </w:rPr>
        <w:t xml:space="preserve">Chỉ đầu tư cục bộ vào thiết bị mới, không chuyển đổi quy trình:</w:t>
      </w:r>
      <w:r>
        <w:t xml:space="preserve"> </w:t>
      </w:r>
      <w:r>
        <w:t xml:space="preserve">Đã chứng minh hiệu suất tăng hạn chế (&lt;5-7%), không đạt chỉ tiêu [33][24].</w:t>
      </w:r>
    </w:p>
    <w:p>
      <w:pPr>
        <w:pStyle w:val="Compact"/>
        <w:numPr>
          <w:ilvl w:val="0"/>
          <w:numId w:val="1018"/>
        </w:numPr>
      </w:pPr>
      <w:r>
        <w:rPr>
          <w:b/>
          <w:bCs/>
        </w:rPr>
        <w:t xml:space="preserve">Tối ưu lao động nhưng giữ nguyên công nghệ, quy trình:</w:t>
      </w:r>
      <w:r>
        <w:t xml:space="preserve"> </w:t>
      </w:r>
      <w:r>
        <w:t xml:space="preserve">Chỉ giải quyết tạm thời, tăng giới hạn dưới 10%, bền vững thấp [44][35].</w:t>
      </w:r>
    </w:p>
    <w:bookmarkEnd w:id="60"/>
    <w:bookmarkEnd w:id="61"/>
    <w:bookmarkStart w:id="64" w:name="Xeae8fee77f273d0a10d975f43bec08af3527dea"/>
    <w:p>
      <w:pPr>
        <w:pStyle w:val="Heading3"/>
      </w:pPr>
      <w:r>
        <w:t xml:space="preserve">Khuyến nghị triển khai, lộ trình và KPI đo lường</w:t>
      </w:r>
    </w:p>
    <w:bookmarkStart w:id="62" w:name="đề-xuất-lộ-trình-roadmap"/>
    <w:p>
      <w:pPr>
        <w:pStyle w:val="Heading4"/>
      </w:pPr>
      <w:r>
        <w:t xml:space="preserve">Đề xuất lộ trình (Roadmap)</w:t>
      </w:r>
    </w:p>
    <w:p>
      <w:pPr>
        <w:pStyle w:val="Compact"/>
        <w:numPr>
          <w:ilvl w:val="0"/>
          <w:numId w:val="1019"/>
        </w:numPr>
      </w:pPr>
      <w:r>
        <w:rPr>
          <w:b/>
          <w:bCs/>
        </w:rPr>
        <w:t xml:space="preserve">Tháng 1-3</w:t>
      </w:r>
      <w:r>
        <w:t xml:space="preserve">: Triển khai quick-win (route optimization, tracker, layout/fulfillment microhub; thử nghiệm robot/quét barcode tại các kho lớn) – mục tiêu tăng 6-8% năng suất ngay trong quý đầu.</w:t>
      </w:r>
    </w:p>
    <w:p>
      <w:pPr>
        <w:pStyle w:val="Compact"/>
        <w:numPr>
          <w:ilvl w:val="0"/>
          <w:numId w:val="1019"/>
        </w:numPr>
      </w:pPr>
      <w:r>
        <w:rPr>
          <w:b/>
          <w:bCs/>
        </w:rPr>
        <w:t xml:space="preserve">Tháng 4-6</w:t>
      </w:r>
      <w:r>
        <w:t xml:space="preserve">: Đồng bộ hóa dữ liệu, nâng cấp hệ quản trị (WMS/TMS, kết nối IoT, phân tích dữ liệu vận hành); mở rộng incentive gắn KPI &amp; gamification cho lực lượng giao nhận. Mục tiêu tăng tích lũy thêm 6-10%.</w:t>
      </w:r>
    </w:p>
    <w:p>
      <w:pPr>
        <w:pStyle w:val="Compact"/>
        <w:numPr>
          <w:ilvl w:val="0"/>
          <w:numId w:val="1019"/>
        </w:numPr>
      </w:pPr>
      <w:r>
        <w:rPr>
          <w:b/>
          <w:bCs/>
        </w:rPr>
        <w:t xml:space="preserve">Tháng 7-9</w:t>
      </w:r>
      <w:r>
        <w:t xml:space="preserve">: Bước vào chuyển đổi số tổng thể, tích hợp AI/ML vào dự báo, phân tích lộ trình hàng hóa, áp dụng tự động hóa sâu; xây dựng đội Continuous Improvement &amp; lộ trình đào tạo nội bộ số. Mục tiêu vượt 15% tăng trưởng tích lũy so với baseline.</w:t>
      </w:r>
    </w:p>
    <w:bookmarkEnd w:id="62"/>
    <w:bookmarkStart w:id="63" w:name="Xd71dd4e6577f9e45aeebb5078e05d3b85ccb6f7"/>
    <w:p>
      <w:pPr>
        <w:pStyle w:val="Heading4"/>
      </w:pPr>
      <w:r>
        <w:t xml:space="preserve">KPI khuyến nghị (gắn với từng nhóm giải pháp)</w:t>
      </w:r>
    </w:p>
    <w:p>
      <w:pPr>
        <w:pStyle w:val="Compact"/>
        <w:numPr>
          <w:ilvl w:val="0"/>
          <w:numId w:val="1020"/>
        </w:numPr>
      </w:pPr>
      <w:r>
        <w:rPr>
          <w:b/>
          <w:bCs/>
        </w:rPr>
        <w:t xml:space="preserve">Quick Win:</w:t>
      </w:r>
      <w:r>
        <w:t xml:space="preserve"> </w:t>
      </w:r>
      <w:r>
        <w:t xml:space="preserve">Số shipment/giờ/người, % on-time delivery, tốc độ xử lý trung bình trên tuyến tiêu chuẩn, tỷ lệ lỗi vận hành.</w:t>
      </w:r>
    </w:p>
    <w:p>
      <w:pPr>
        <w:pStyle w:val="Compact"/>
        <w:numPr>
          <w:ilvl w:val="0"/>
          <w:numId w:val="1020"/>
        </w:numPr>
      </w:pPr>
      <w:r>
        <w:rPr>
          <w:b/>
          <w:bCs/>
        </w:rPr>
        <w:t xml:space="preserve">Công Nghệ-Dài Hạn:</w:t>
      </w:r>
      <w:r>
        <w:t xml:space="preserve"> </w:t>
      </w:r>
      <w:r>
        <w:t xml:space="preserve">Số đơn xử lý/ngày/kho, chi phí logistics/đơn vị giảm, % automation rate toàn mạng lưới.</w:t>
      </w:r>
    </w:p>
    <w:p>
      <w:pPr>
        <w:pStyle w:val="Compact"/>
        <w:numPr>
          <w:ilvl w:val="0"/>
          <w:numId w:val="1020"/>
        </w:numPr>
      </w:pPr>
      <w:r>
        <w:rPr>
          <w:b/>
          <w:bCs/>
        </w:rPr>
        <w:t xml:space="preserve">Tổ Chức &amp; Incentive:</w:t>
      </w:r>
      <w:r>
        <w:t xml:space="preserve"> </w:t>
      </w:r>
      <w:r>
        <w:t xml:space="preserve">Retention rate, % engagement score nhân viên, productivity/nhân sự/bộ phận, % KPI đạt 90% trở lên.</w:t>
      </w:r>
    </w:p>
    <w:bookmarkEnd w:id="63"/>
    <w:bookmarkEnd w:id="64"/>
    <w:bookmarkStart w:id="65" w:name="tổng-kết-và-định-hướng"/>
    <w:p>
      <w:pPr>
        <w:pStyle w:val="Heading3"/>
      </w:pPr>
      <w:r>
        <w:t xml:space="preserve">Tổng kết và định hướng</w:t>
      </w:r>
    </w:p>
    <w:p>
      <w:pPr>
        <w:pStyle w:val="FirstParagraph"/>
      </w:pPr>
      <w:r>
        <w:t xml:space="preserve">Kết quả phân tích cho thấy,</w:t>
      </w:r>
      <w:r>
        <w:t xml:space="preserve"> </w:t>
      </w:r>
      <w:r>
        <w:rPr>
          <w:b/>
          <w:bCs/>
        </w:rPr>
        <w:t xml:space="preserve">kết hợp toàn diện Quick Win + dài hạn (digital + tổ chức + incentive) là con đường duy nhất chắc chắn đạt mức tăng trưởng 15% năng suất trong vòng 3 quý</w:t>
      </w:r>
      <w:r>
        <w:t xml:space="preserve">. Các giải pháp chỉ tập trung ngắn hạn, đơn độc hoặc thiếu đổi mới công nghệ đều không đủ mạnh để đưa tổng năng suất lên mức kỳ vọng [42][45][41][21][25]. Chủ động chuyển đổi, nhất quán đầu tư diện rộng và quản trị thay đổi sẽ giúp doanh nghiệp logistics giải được bài toán tăng trưởng nhanh, bền vững, và vượt lên trên thị trường.</w:t>
      </w:r>
    </w:p>
    <w:p>
      <w:r>
        <w:pict>
          <v:rect style="width:0;height:1.5pt" o:hralign="center" o:hrstd="t" o:hr="t"/>
        </w:pict>
      </w:r>
    </w:p>
    <w:bookmarkEnd w:id="65"/>
    <w:bookmarkEnd w:id="66"/>
    <w:bookmarkStart w:id="82" w:name="X1e2e7a9ebafd9ffd941f22e56d069f06ca43946"/>
    <w:p>
      <w:pPr>
        <w:pStyle w:val="Heading2"/>
      </w:pPr>
      <w:r>
        <w:t xml:space="preserve">VI. Kế hoạch hành động, Ngân sách &amp; Phân tích ROI: Lộ trình, chi phí, KPI 3 quý tới, tính toán hiệu quả</w:t>
      </w:r>
    </w:p>
    <w:bookmarkStart w:id="67" w:name="X7bd32177646d81c6c72ac9ef6aa3f43198deadf"/>
    <w:p>
      <w:pPr>
        <w:pStyle w:val="Heading3"/>
      </w:pPr>
      <w:r>
        <w:t xml:space="preserve">1. Gantt Chart Lộ Trình Triển Khai &amp; Các Cột Mốc 3 Quý Tới</w:t>
      </w:r>
    </w:p>
    <w:p>
      <w:pPr>
        <w:pStyle w:val="FirstParagraph"/>
      </w:pPr>
      <w:r>
        <w:t xml:space="preserve">Dưới đây là bảng lộ trình thực hiện dự án tự động hóa logistics trong 9 tháng tới (T7/2024–T3/2025), chia rõ cột mốc từng tháng kèm deliverable/trách nhiệm:</w:t>
      </w:r>
    </w:p>
    <w:tbl>
      <w:tblPr>
        <w:tblStyle w:val="Table"/>
        <w:tblW w:type="pct" w:w="5000"/>
        <w:tblLayout w:type="fixed"/>
        <w:tblLook w:firstRow="1" w:lastRow="0" w:firstColumn="0" w:lastColumn="0" w:noHBand="0" w:noVBand="0" w:val="0020"/>
      </w:tblPr>
      <w:tblGrid>
        <w:gridCol w:w="841"/>
        <w:gridCol w:w="1822"/>
        <w:gridCol w:w="2943"/>
        <w:gridCol w:w="1331"/>
        <w:gridCol w:w="981"/>
      </w:tblGrid>
      <w:tr>
        <w:trPr>
          <w:tblHeader w:val="on"/>
        </w:trPr>
        <w:tc>
          <w:tcPr/>
          <w:p>
            <w:pPr>
              <w:pStyle w:val="Compact"/>
            </w:pPr>
            <w:r>
              <w:t xml:space="preserve">Tháng</w:t>
            </w:r>
          </w:p>
        </w:tc>
        <w:tc>
          <w:tcPr/>
          <w:p>
            <w:pPr>
              <w:pStyle w:val="Compact"/>
            </w:pPr>
            <w:r>
              <w:t xml:space="preserve">Milestone</w:t>
            </w:r>
          </w:p>
        </w:tc>
        <w:tc>
          <w:tcPr/>
          <w:p>
            <w:pPr>
              <w:pStyle w:val="Compact"/>
            </w:pPr>
            <w:r>
              <w:t xml:space="preserve">Deliverables</w:t>
            </w:r>
          </w:p>
        </w:tc>
        <w:tc>
          <w:tcPr/>
          <w:p>
            <w:pPr>
              <w:pStyle w:val="Compact"/>
            </w:pPr>
            <w:r>
              <w:t xml:space="preserve">Trạng thái</w:t>
            </w:r>
          </w:p>
        </w:tc>
        <w:tc>
          <w:tcPr/>
          <w:p>
            <w:pPr>
              <w:pStyle w:val="Compact"/>
            </w:pPr>
            <w:r>
              <w:t xml:space="preserve">Trách nhiệm</w:t>
            </w:r>
          </w:p>
        </w:tc>
      </w:tr>
      <w:tr>
        <w:tc>
          <w:tcPr/>
          <w:p>
            <w:pPr>
              <w:pStyle w:val="Compact"/>
            </w:pPr>
            <w:r>
              <w:t xml:space="preserve">07/2024</w:t>
            </w:r>
          </w:p>
        </w:tc>
        <w:tc>
          <w:tcPr/>
          <w:p>
            <w:pPr>
              <w:pStyle w:val="Compact"/>
            </w:pPr>
            <w:r>
              <w:t xml:space="preserve">Khởi động dự án</w:t>
            </w:r>
          </w:p>
        </w:tc>
        <w:tc>
          <w:tcPr/>
          <w:p>
            <w:pPr>
              <w:pStyle w:val="Compact"/>
            </w:pPr>
            <w:r>
              <w:t xml:space="preserve">Báo cáo khởi động, Kế hoạch dự án</w:t>
            </w:r>
          </w:p>
        </w:tc>
        <w:tc>
          <w:tcPr/>
          <w:p>
            <w:pPr>
              <w:pStyle w:val="Compact"/>
            </w:pPr>
            <w:r>
              <w:t xml:space="preserve">Kế hoạch</w:t>
            </w:r>
          </w:p>
        </w:tc>
        <w:tc>
          <w:tcPr/>
          <w:p>
            <w:pPr>
              <w:pStyle w:val="Compact"/>
            </w:pPr>
            <w:r>
              <w:t xml:space="preserve">PM 1023</w:t>
            </w:r>
          </w:p>
        </w:tc>
      </w:tr>
      <w:tr>
        <w:tc>
          <w:tcPr/>
          <w:p>
            <w:pPr>
              <w:pStyle w:val="Compact"/>
            </w:pPr>
            <w:r>
              <w:t xml:space="preserve">08/2024</w:t>
            </w:r>
          </w:p>
        </w:tc>
        <w:tc>
          <w:tcPr/>
          <w:p>
            <w:pPr>
              <w:pStyle w:val="Compact"/>
            </w:pPr>
            <w:r>
              <w:t xml:space="preserve">Phân tích yêu cầu</w:t>
            </w:r>
          </w:p>
        </w:tc>
        <w:tc>
          <w:tcPr/>
          <w:p>
            <w:pPr>
              <w:pStyle w:val="Compact"/>
            </w:pPr>
            <w:r>
              <w:t xml:space="preserve">Tài liệu yêu cầu, Sơ đồ quy trình</w:t>
            </w:r>
          </w:p>
        </w:tc>
        <w:tc>
          <w:tcPr/>
          <w:p>
            <w:pPr>
              <w:pStyle w:val="Compact"/>
            </w:pPr>
            <w:r>
              <w:t xml:space="preserve">Kế hoạch</w:t>
            </w:r>
          </w:p>
        </w:tc>
        <w:tc>
          <w:tcPr/>
          <w:p>
            <w:pPr>
              <w:pStyle w:val="Compact"/>
            </w:pPr>
            <w:r>
              <w:t xml:space="preserve">PM 1045</w:t>
            </w:r>
          </w:p>
        </w:tc>
      </w:tr>
      <w:tr>
        <w:tc>
          <w:tcPr/>
          <w:p>
            <w:pPr>
              <w:pStyle w:val="Compact"/>
            </w:pPr>
            <w:r>
              <w:t xml:space="preserve">09/2024</w:t>
            </w:r>
          </w:p>
        </w:tc>
        <w:tc>
          <w:tcPr/>
          <w:p>
            <w:pPr>
              <w:pStyle w:val="Compact"/>
            </w:pPr>
            <w:r>
              <w:t xml:space="preserve">Thiết kế hệ thống</w:t>
            </w:r>
          </w:p>
        </w:tc>
        <w:tc>
          <w:tcPr/>
          <w:p>
            <w:pPr>
              <w:pStyle w:val="Compact"/>
            </w:pPr>
            <w:r>
              <w:t xml:space="preserve">Bản vẽ kiến trúc, Tài liệu thiết kế</w:t>
            </w:r>
          </w:p>
        </w:tc>
        <w:tc>
          <w:tcPr/>
          <w:p>
            <w:pPr>
              <w:pStyle w:val="Compact"/>
            </w:pPr>
            <w:r>
              <w:t xml:space="preserve">Đang thực hiện</w:t>
            </w:r>
          </w:p>
        </w:tc>
        <w:tc>
          <w:tcPr/>
          <w:p>
            <w:pPr>
              <w:pStyle w:val="Compact"/>
            </w:pPr>
            <w:r>
              <w:t xml:space="preserve">PM 1098</w:t>
            </w:r>
          </w:p>
        </w:tc>
      </w:tr>
      <w:tr>
        <w:tc>
          <w:tcPr/>
          <w:p>
            <w:pPr>
              <w:pStyle w:val="Compact"/>
            </w:pPr>
            <w:r>
              <w:t xml:space="preserve">10/2024</w:t>
            </w:r>
          </w:p>
        </w:tc>
        <w:tc>
          <w:tcPr/>
          <w:p>
            <w:pPr>
              <w:pStyle w:val="Compact"/>
            </w:pPr>
            <w:r>
              <w:t xml:space="preserve">Phát triển giai đoạn 1</w:t>
            </w:r>
          </w:p>
        </w:tc>
        <w:tc>
          <w:tcPr/>
          <w:p>
            <w:pPr>
              <w:pStyle w:val="Compact"/>
            </w:pPr>
            <w:r>
              <w:t xml:space="preserve">Đăng nhập, Quản lý người dùng</w:t>
            </w:r>
          </w:p>
        </w:tc>
        <w:tc>
          <w:tcPr/>
          <w:p>
            <w:pPr>
              <w:pStyle w:val="Compact"/>
            </w:pPr>
            <w:r>
              <w:t xml:space="preserve">Đang thực hiện</w:t>
            </w:r>
          </w:p>
        </w:tc>
        <w:tc>
          <w:tcPr/>
          <w:p>
            <w:pPr>
              <w:pStyle w:val="Compact"/>
            </w:pPr>
            <w:r>
              <w:t xml:space="preserve">PM 1023</w:t>
            </w:r>
          </w:p>
        </w:tc>
      </w:tr>
      <w:tr>
        <w:tc>
          <w:tcPr/>
          <w:p>
            <w:pPr>
              <w:pStyle w:val="Compact"/>
            </w:pPr>
            <w:r>
              <w:t xml:space="preserve">11/2024</w:t>
            </w:r>
          </w:p>
        </w:tc>
        <w:tc>
          <w:tcPr/>
          <w:p>
            <w:pPr>
              <w:pStyle w:val="Compact"/>
            </w:pPr>
            <w:r>
              <w:t xml:space="preserve">Kiểm thử nội bộ</w:t>
            </w:r>
          </w:p>
        </w:tc>
        <w:tc>
          <w:tcPr/>
          <w:p>
            <w:pPr>
              <w:pStyle w:val="Compact"/>
            </w:pPr>
            <w:r>
              <w:t xml:space="preserve">Báo cáo kiểm thử, Sửa lỗi chính</w:t>
            </w:r>
          </w:p>
        </w:tc>
        <w:tc>
          <w:tcPr/>
          <w:p>
            <w:pPr>
              <w:pStyle w:val="Compact"/>
            </w:pPr>
            <w:r>
              <w:t xml:space="preserve">Đang thực hiện</w:t>
            </w:r>
          </w:p>
        </w:tc>
        <w:tc>
          <w:tcPr/>
          <w:p>
            <w:pPr>
              <w:pStyle w:val="Compact"/>
            </w:pPr>
            <w:r>
              <w:t xml:space="preserve">PM 1045</w:t>
            </w:r>
          </w:p>
        </w:tc>
      </w:tr>
      <w:tr>
        <w:tc>
          <w:tcPr/>
          <w:p>
            <w:pPr>
              <w:pStyle w:val="Compact"/>
            </w:pPr>
            <w:r>
              <w:t xml:space="preserve">12/2024</w:t>
            </w:r>
          </w:p>
        </w:tc>
        <w:tc>
          <w:tcPr/>
          <w:p>
            <w:pPr>
              <w:pStyle w:val="Compact"/>
            </w:pPr>
            <w:r>
              <w:t xml:space="preserve">Phát triển giai đoạn 2</w:t>
            </w:r>
          </w:p>
        </w:tc>
        <w:tc>
          <w:tcPr/>
          <w:p>
            <w:pPr>
              <w:pStyle w:val="Compact"/>
            </w:pPr>
            <w:r>
              <w:t xml:space="preserve">Chức năng báo cáo, Tích hợp API</w:t>
            </w:r>
          </w:p>
        </w:tc>
        <w:tc>
          <w:tcPr/>
          <w:p>
            <w:pPr>
              <w:pStyle w:val="Compact"/>
            </w:pPr>
            <w:r>
              <w:t xml:space="preserve">Kế hoạch</w:t>
            </w:r>
          </w:p>
        </w:tc>
        <w:tc>
          <w:tcPr/>
          <w:p>
            <w:pPr>
              <w:pStyle w:val="Compact"/>
            </w:pPr>
            <w:r>
              <w:t xml:space="preserve">PM 1098</w:t>
            </w:r>
          </w:p>
        </w:tc>
      </w:tr>
      <w:tr>
        <w:tc>
          <w:tcPr/>
          <w:p>
            <w:pPr>
              <w:pStyle w:val="Compact"/>
            </w:pPr>
            <w:r>
              <w:t xml:space="preserve">01/2025</w:t>
            </w:r>
          </w:p>
        </w:tc>
        <w:tc>
          <w:tcPr/>
          <w:p>
            <w:pPr>
              <w:pStyle w:val="Compact"/>
            </w:pPr>
            <w:r>
              <w:t xml:space="preserve">Kiểm thử người dùng</w:t>
            </w:r>
          </w:p>
        </w:tc>
        <w:tc>
          <w:tcPr/>
          <w:p>
            <w:pPr>
              <w:pStyle w:val="Compact"/>
            </w:pPr>
            <w:r>
              <w:t xml:space="preserve">Phản hồi, Báo cáo UAT</w:t>
            </w:r>
          </w:p>
        </w:tc>
        <w:tc>
          <w:tcPr/>
          <w:p>
            <w:pPr>
              <w:pStyle w:val="Compact"/>
            </w:pPr>
            <w:r>
              <w:t xml:space="preserve">Kế hoạch</w:t>
            </w:r>
          </w:p>
        </w:tc>
        <w:tc>
          <w:tcPr/>
          <w:p>
            <w:pPr>
              <w:pStyle w:val="Compact"/>
            </w:pPr>
            <w:r>
              <w:t xml:space="preserve">PM 1023</w:t>
            </w:r>
          </w:p>
        </w:tc>
      </w:tr>
      <w:tr>
        <w:tc>
          <w:tcPr/>
          <w:p>
            <w:pPr>
              <w:pStyle w:val="Compact"/>
            </w:pPr>
            <w:r>
              <w:t xml:space="preserve">02/2025</w:t>
            </w:r>
          </w:p>
        </w:tc>
        <w:tc>
          <w:tcPr/>
          <w:p>
            <w:pPr>
              <w:pStyle w:val="Compact"/>
            </w:pPr>
            <w:r>
              <w:t xml:space="preserve">Triển khai thử nghiệm</w:t>
            </w:r>
          </w:p>
        </w:tc>
        <w:tc>
          <w:tcPr/>
          <w:p>
            <w:pPr>
              <w:pStyle w:val="Compact"/>
            </w:pPr>
            <w:r>
              <w:t xml:space="preserve">Bản thử nghiệm, Hướng dẫn sử dụng</w:t>
            </w:r>
          </w:p>
        </w:tc>
        <w:tc>
          <w:tcPr/>
          <w:p>
            <w:pPr>
              <w:pStyle w:val="Compact"/>
            </w:pPr>
            <w:r>
              <w:t xml:space="preserve">Kế hoạch</w:t>
            </w:r>
          </w:p>
        </w:tc>
        <w:tc>
          <w:tcPr/>
          <w:p>
            <w:pPr>
              <w:pStyle w:val="Compact"/>
            </w:pPr>
            <w:r>
              <w:t xml:space="preserve">PM 1045</w:t>
            </w:r>
          </w:p>
        </w:tc>
      </w:tr>
      <w:tr>
        <w:tc>
          <w:tcPr/>
          <w:p>
            <w:pPr>
              <w:pStyle w:val="Compact"/>
            </w:pPr>
            <w:r>
              <w:t xml:space="preserve">03/2025</w:t>
            </w:r>
          </w:p>
        </w:tc>
        <w:tc>
          <w:tcPr/>
          <w:p>
            <w:pPr>
              <w:pStyle w:val="Compact"/>
            </w:pPr>
            <w:r>
              <w:t xml:space="preserve">Bàn giao dự án</w:t>
            </w:r>
          </w:p>
        </w:tc>
        <w:tc>
          <w:tcPr/>
          <w:p>
            <w:pPr>
              <w:pStyle w:val="Compact"/>
            </w:pPr>
            <w:r>
              <w:t xml:space="preserve">Tài liệu bàn giao, Đào tạo người dùng</w:t>
            </w:r>
          </w:p>
        </w:tc>
        <w:tc>
          <w:tcPr/>
          <w:p>
            <w:pPr>
              <w:pStyle w:val="Compact"/>
            </w:pPr>
            <w:r>
              <w:t xml:space="preserve">Kế hoạch</w:t>
            </w:r>
          </w:p>
        </w:tc>
        <w:tc>
          <w:tcPr/>
          <w:p>
            <w:pPr>
              <w:pStyle w:val="Compact"/>
            </w:pPr>
            <w:r>
              <w:t xml:space="preserve">PM 1098</w:t>
            </w:r>
          </w:p>
        </w:tc>
      </w:tr>
    </w:tbl>
    <w:tbl>
      <w:tblPr>
        <w:tblStyle w:val="FigureTable"/>
        <w:tblW w:type="auto" w:w="0"/>
        <w:jc w:val="center"/>
        <w:tblLook w:firstRow="0" w:lastRow="0" w:firstColumn="0" w:lastColumn="0"/>
      </w:tblPr>
      <w:tblGrid>
        <w:gridCol w:w="7920"/>
      </w:tblGrid>
      <w:tr>
        <w:tc>
          <w:tcPr/>
          <w:p>
            <w:pPr>
              <w:pStyle w:val="Compact"/>
              <w:jc w:val="center"/>
            </w:pPr>
            <w:r>
              <w:t xml:space="preserve">Milestones Timeline</w:t>
            </w:r>
          </w:p>
        </w:tc>
      </w:tr>
    </w:tbl>
    <w:p>
      <w:pPr>
        <w:pStyle w:val="ImageCaption"/>
      </w:pPr>
      <w:r>
        <w:t xml:space="preserve">Milestones Timeline</w:t>
      </w:r>
    </w:p>
    <w:p>
      <w:pPr>
        <w:pStyle w:val="BodyText"/>
      </w:pPr>
      <w:r>
        <w:t xml:space="preserve">Bảng milestones trên bảo đảm phân tách rõ ràng các giai đoạn then chốt, có deliverable kiểm soát và PRD ràng buộc trách nhiệm [1]. Tất cả cập nhật tiến độ được số hóa qua phần mềm quản lý dự án chuẩn quốc tế.</w:t>
      </w:r>
    </w:p>
    <w:bookmarkEnd w:id="67"/>
    <w:bookmarkStart w:id="68" w:name="ngân-sách-đầu-tư-capex-opex-3-quý-tới"/>
    <w:p>
      <w:pPr>
        <w:pStyle w:val="Heading3"/>
      </w:pPr>
      <w:r>
        <w:t xml:space="preserve">2. Ngân Sách Đầu Tư: CAPEX &amp; OPEX 3 Quý Tới</w:t>
      </w:r>
    </w:p>
    <w:p>
      <w:pPr>
        <w:pStyle w:val="FirstParagraph"/>
      </w:pPr>
      <w:r>
        <w:t xml:space="preserve">Bảng sau trình bày chi tiết phân bổ chi phí đầu tư tài sản (CAPEX) &amp; vận hành (OPEX) theo quý và từng hoạt động lõi:</w:t>
      </w:r>
    </w:p>
    <w:tbl>
      <w:tblPr>
        <w:tblStyle w:val="Table"/>
        <w:tblW w:type="pct" w:w="5000"/>
        <w:tblLayout w:type="fixed"/>
        <w:tblLook w:firstRow="1" w:lastRow="0" w:firstColumn="0" w:lastColumn="0" w:noHBand="0" w:noVBand="0" w:val="0020"/>
      </w:tblPr>
      <w:tblGrid>
        <w:gridCol w:w="1514"/>
        <w:gridCol w:w="3028"/>
        <w:gridCol w:w="1747"/>
        <w:gridCol w:w="1630"/>
      </w:tblGrid>
      <w:tr>
        <w:trPr>
          <w:tblHeader w:val="on"/>
        </w:trPr>
        <w:tc>
          <w:tcPr/>
          <w:p>
            <w:pPr>
              <w:pStyle w:val="Compact"/>
            </w:pPr>
            <w:r>
              <w:t xml:space="preserve">Quý</w:t>
            </w:r>
          </w:p>
        </w:tc>
        <w:tc>
          <w:tcPr/>
          <w:p>
            <w:pPr>
              <w:pStyle w:val="Compact"/>
            </w:pPr>
            <w:r>
              <w:t xml:space="preserve">Hoạt động</w:t>
            </w:r>
          </w:p>
        </w:tc>
        <w:tc>
          <w:tcPr/>
          <w:p>
            <w:pPr>
              <w:pStyle w:val="Compact"/>
            </w:pPr>
            <w:r>
              <w:t xml:space="preserve">CAPEX (VND)</w:t>
            </w:r>
          </w:p>
        </w:tc>
        <w:tc>
          <w:tcPr/>
          <w:p>
            <w:pPr>
              <w:pStyle w:val="Compact"/>
            </w:pPr>
            <w:r>
              <w:t xml:space="preserve">OPEX (VND)</w:t>
            </w:r>
          </w:p>
        </w:tc>
      </w:tr>
      <w:tr>
        <w:tc>
          <w:tcPr/>
          <w:p>
            <w:pPr>
              <w:pStyle w:val="Compact"/>
            </w:pPr>
            <w:r>
              <w:t xml:space="preserve">Q3-2024</w:t>
            </w:r>
          </w:p>
        </w:tc>
        <w:tc>
          <w:tcPr/>
          <w:p>
            <w:pPr>
              <w:pStyle w:val="Compact"/>
            </w:pPr>
            <w:r>
              <w:t xml:space="preserve">Mua thiết bị</w:t>
            </w:r>
          </w:p>
        </w:tc>
        <w:tc>
          <w:tcPr/>
          <w:p>
            <w:pPr>
              <w:pStyle w:val="Compact"/>
            </w:pPr>
            <w:r>
              <w:t xml:space="preserve">850,000,000</w:t>
            </w:r>
          </w:p>
        </w:tc>
        <w:tc>
          <w:tcPr/>
          <w:p>
            <w:pPr>
              <w:pStyle w:val="Compact"/>
            </w:pPr>
            <w:r>
              <w:t xml:space="preserve">–</w:t>
            </w:r>
          </w:p>
        </w:tc>
      </w:tr>
      <w:tr>
        <w:tc>
          <w:tcPr/>
          <w:p>
            <w:pPr>
              <w:pStyle w:val="Compact"/>
            </w:pPr>
            <w:r>
              <w:t xml:space="preserve">Q3-2024</w:t>
            </w:r>
          </w:p>
        </w:tc>
        <w:tc>
          <w:tcPr/>
          <w:p>
            <w:pPr>
              <w:pStyle w:val="Compact"/>
            </w:pPr>
            <w:r>
              <w:t xml:space="preserve">Triển khai CNTT</w:t>
            </w:r>
          </w:p>
        </w:tc>
        <w:tc>
          <w:tcPr/>
          <w:p>
            <w:pPr>
              <w:pStyle w:val="Compact"/>
            </w:pPr>
            <w:r>
              <w:t xml:space="preserve">420,000,000</w:t>
            </w:r>
          </w:p>
        </w:tc>
        <w:tc>
          <w:tcPr/>
          <w:p>
            <w:pPr>
              <w:pStyle w:val="Compact"/>
            </w:pPr>
            <w:r>
              <w:t xml:space="preserve">–</w:t>
            </w:r>
          </w:p>
        </w:tc>
      </w:tr>
      <w:tr>
        <w:tc>
          <w:tcPr/>
          <w:p>
            <w:pPr>
              <w:pStyle w:val="Compact"/>
            </w:pPr>
            <w:r>
              <w:t xml:space="preserve">Q3-2024</w:t>
            </w:r>
          </w:p>
        </w:tc>
        <w:tc>
          <w:tcPr/>
          <w:p>
            <w:pPr>
              <w:pStyle w:val="Compact"/>
            </w:pPr>
            <w:r>
              <w:t xml:space="preserve">Đào tạo</w:t>
            </w:r>
          </w:p>
        </w:tc>
        <w:tc>
          <w:tcPr/>
          <w:p>
            <w:pPr>
              <w:pStyle w:val="Compact"/>
            </w:pPr>
            <w:r>
              <w:t xml:space="preserve">–</w:t>
            </w:r>
          </w:p>
        </w:tc>
        <w:tc>
          <w:tcPr/>
          <w:p>
            <w:pPr>
              <w:pStyle w:val="Compact"/>
            </w:pPr>
            <w:r>
              <w:t xml:space="preserve">65,000,000</w:t>
            </w:r>
          </w:p>
        </w:tc>
      </w:tr>
      <w:tr>
        <w:tc>
          <w:tcPr/>
          <w:p>
            <w:pPr>
              <w:pStyle w:val="Compact"/>
            </w:pPr>
            <w:r>
              <w:t xml:space="preserve">Q3-2024</w:t>
            </w:r>
          </w:p>
        </w:tc>
        <w:tc>
          <w:tcPr/>
          <w:p>
            <w:pPr>
              <w:pStyle w:val="Compact"/>
            </w:pPr>
            <w:r>
              <w:t xml:space="preserve">Tái cấu trúc quy trình</w:t>
            </w:r>
          </w:p>
        </w:tc>
        <w:tc>
          <w:tcPr/>
          <w:p>
            <w:pPr>
              <w:pStyle w:val="Compact"/>
            </w:pPr>
            <w:r>
              <w:t xml:space="preserve">–</w:t>
            </w:r>
          </w:p>
        </w:tc>
        <w:tc>
          <w:tcPr/>
          <w:p>
            <w:pPr>
              <w:pStyle w:val="Compact"/>
            </w:pPr>
            <w:r>
              <w:t xml:space="preserve">120,000,000</w:t>
            </w:r>
          </w:p>
        </w:tc>
      </w:tr>
      <w:tr>
        <w:tc>
          <w:tcPr/>
          <w:p>
            <w:pPr>
              <w:pStyle w:val="Compact"/>
            </w:pPr>
            <w:r>
              <w:t xml:space="preserve">Q4-2024</w:t>
            </w:r>
          </w:p>
        </w:tc>
        <w:tc>
          <w:tcPr/>
          <w:p>
            <w:pPr>
              <w:pStyle w:val="Compact"/>
            </w:pPr>
            <w:r>
              <w:t xml:space="preserve">Mua thiết bị</w:t>
            </w:r>
          </w:p>
        </w:tc>
        <w:tc>
          <w:tcPr/>
          <w:p>
            <w:pPr>
              <w:pStyle w:val="Compact"/>
            </w:pPr>
            <w:r>
              <w:t xml:space="preserve">320,000,000</w:t>
            </w:r>
          </w:p>
        </w:tc>
        <w:tc>
          <w:tcPr/>
          <w:p>
            <w:pPr>
              <w:pStyle w:val="Compact"/>
            </w:pPr>
            <w:r>
              <w:t xml:space="preserve">–</w:t>
            </w:r>
          </w:p>
        </w:tc>
      </w:tr>
      <w:tr>
        <w:tc>
          <w:tcPr/>
          <w:p>
            <w:pPr>
              <w:pStyle w:val="Compact"/>
            </w:pPr>
            <w:r>
              <w:t xml:space="preserve">Q4-2024</w:t>
            </w:r>
          </w:p>
        </w:tc>
        <w:tc>
          <w:tcPr/>
          <w:p>
            <w:pPr>
              <w:pStyle w:val="Compact"/>
            </w:pPr>
            <w:r>
              <w:t xml:space="preserve">Triển khai CNTT</w:t>
            </w:r>
          </w:p>
        </w:tc>
        <w:tc>
          <w:tcPr/>
          <w:p>
            <w:pPr>
              <w:pStyle w:val="Compact"/>
            </w:pPr>
            <w:r>
              <w:t xml:space="preserve">–</w:t>
            </w:r>
          </w:p>
        </w:tc>
        <w:tc>
          <w:tcPr/>
          <w:p>
            <w:pPr>
              <w:pStyle w:val="Compact"/>
            </w:pPr>
            <w:r>
              <w:t xml:space="preserve">95,000,000</w:t>
            </w:r>
          </w:p>
        </w:tc>
      </w:tr>
      <w:tr>
        <w:tc>
          <w:tcPr/>
          <w:p>
            <w:pPr>
              <w:pStyle w:val="Compact"/>
            </w:pPr>
            <w:r>
              <w:t xml:space="preserve">Q4-2024</w:t>
            </w:r>
          </w:p>
        </w:tc>
        <w:tc>
          <w:tcPr/>
          <w:p>
            <w:pPr>
              <w:pStyle w:val="Compact"/>
            </w:pPr>
            <w:r>
              <w:t xml:space="preserve">Đào tạo</w:t>
            </w:r>
          </w:p>
        </w:tc>
        <w:tc>
          <w:tcPr/>
          <w:p>
            <w:pPr>
              <w:pStyle w:val="Compact"/>
            </w:pPr>
            <w:r>
              <w:t xml:space="preserve">–</w:t>
            </w:r>
          </w:p>
        </w:tc>
        <w:tc>
          <w:tcPr/>
          <w:p>
            <w:pPr>
              <w:pStyle w:val="Compact"/>
            </w:pPr>
            <w:r>
              <w:t xml:space="preserve">40,000,000</w:t>
            </w:r>
          </w:p>
        </w:tc>
      </w:tr>
      <w:tr>
        <w:tc>
          <w:tcPr/>
          <w:p>
            <w:pPr>
              <w:pStyle w:val="Compact"/>
            </w:pPr>
            <w:r>
              <w:t xml:space="preserve">Q4-2024</w:t>
            </w:r>
          </w:p>
        </w:tc>
        <w:tc>
          <w:tcPr/>
          <w:p>
            <w:pPr>
              <w:pStyle w:val="Compact"/>
            </w:pPr>
            <w:r>
              <w:t xml:space="preserve">Tái cấu trúc quy trình</w:t>
            </w:r>
          </w:p>
        </w:tc>
        <w:tc>
          <w:tcPr/>
          <w:p>
            <w:pPr>
              <w:pStyle w:val="Compact"/>
            </w:pPr>
            <w:r>
              <w:t xml:space="preserve">–</w:t>
            </w:r>
          </w:p>
        </w:tc>
        <w:tc>
          <w:tcPr/>
          <w:p>
            <w:pPr>
              <w:pStyle w:val="Compact"/>
            </w:pPr>
            <w:r>
              <w:t xml:space="preserve">135,000,000</w:t>
            </w:r>
          </w:p>
        </w:tc>
      </w:tr>
      <w:tr>
        <w:tc>
          <w:tcPr/>
          <w:p>
            <w:pPr>
              <w:pStyle w:val="Compact"/>
            </w:pPr>
            <w:r>
              <w:t xml:space="preserve">Q1-2025</w:t>
            </w:r>
          </w:p>
        </w:tc>
        <w:tc>
          <w:tcPr/>
          <w:p>
            <w:pPr>
              <w:pStyle w:val="Compact"/>
            </w:pPr>
            <w:r>
              <w:t xml:space="preserve">Mua thiết bị</w:t>
            </w:r>
          </w:p>
        </w:tc>
        <w:tc>
          <w:tcPr/>
          <w:p>
            <w:pPr>
              <w:pStyle w:val="Compact"/>
            </w:pPr>
            <w:r>
              <w:t xml:space="preserve">60,000,000</w:t>
            </w:r>
          </w:p>
        </w:tc>
        <w:tc>
          <w:tcPr/>
          <w:p>
            <w:pPr>
              <w:pStyle w:val="Compact"/>
            </w:pPr>
            <w:r>
              <w:t xml:space="preserve">–</w:t>
            </w:r>
          </w:p>
        </w:tc>
      </w:tr>
      <w:tr>
        <w:tc>
          <w:tcPr/>
          <w:p>
            <w:pPr>
              <w:pStyle w:val="Compact"/>
            </w:pPr>
            <w:r>
              <w:t xml:space="preserve">Q1-2025</w:t>
            </w:r>
          </w:p>
        </w:tc>
        <w:tc>
          <w:tcPr/>
          <w:p>
            <w:pPr>
              <w:pStyle w:val="Compact"/>
            </w:pPr>
            <w:r>
              <w:t xml:space="preserve">Triển khai CNTT</w:t>
            </w:r>
          </w:p>
        </w:tc>
        <w:tc>
          <w:tcPr/>
          <w:p>
            <w:pPr>
              <w:pStyle w:val="Compact"/>
            </w:pPr>
            <w:r>
              <w:t xml:space="preserve">–</w:t>
            </w:r>
          </w:p>
        </w:tc>
        <w:tc>
          <w:tcPr/>
          <w:p>
            <w:pPr>
              <w:pStyle w:val="Compact"/>
            </w:pPr>
            <w:r>
              <w:t xml:space="preserve">80,000,000</w:t>
            </w:r>
          </w:p>
        </w:tc>
      </w:tr>
      <w:tr>
        <w:tc>
          <w:tcPr/>
          <w:p>
            <w:pPr>
              <w:pStyle w:val="Compact"/>
            </w:pPr>
            <w:r>
              <w:t xml:space="preserve">Q1-2025</w:t>
            </w:r>
          </w:p>
        </w:tc>
        <w:tc>
          <w:tcPr/>
          <w:p>
            <w:pPr>
              <w:pStyle w:val="Compact"/>
            </w:pPr>
            <w:r>
              <w:t xml:space="preserve">Đào tạo</w:t>
            </w:r>
          </w:p>
        </w:tc>
        <w:tc>
          <w:tcPr/>
          <w:p>
            <w:pPr>
              <w:pStyle w:val="Compact"/>
            </w:pPr>
            <w:r>
              <w:t xml:space="preserve">–</w:t>
            </w:r>
          </w:p>
        </w:tc>
        <w:tc>
          <w:tcPr/>
          <w:p>
            <w:pPr>
              <w:pStyle w:val="Compact"/>
            </w:pPr>
            <w:r>
              <w:t xml:space="preserve">30,000,000</w:t>
            </w:r>
          </w:p>
        </w:tc>
      </w:tr>
      <w:tr>
        <w:tc>
          <w:tcPr/>
          <w:p>
            <w:pPr>
              <w:pStyle w:val="Compact"/>
            </w:pPr>
            <w:r>
              <w:t xml:space="preserve">Q1-2025</w:t>
            </w:r>
          </w:p>
        </w:tc>
        <w:tc>
          <w:tcPr/>
          <w:p>
            <w:pPr>
              <w:pStyle w:val="Compact"/>
            </w:pPr>
            <w:r>
              <w:t xml:space="preserve">Tái cấu trúc quy trình</w:t>
            </w:r>
          </w:p>
        </w:tc>
        <w:tc>
          <w:tcPr/>
          <w:p>
            <w:pPr>
              <w:pStyle w:val="Compact"/>
            </w:pPr>
            <w:r>
              <w:t xml:space="preserve">–</w:t>
            </w:r>
          </w:p>
        </w:tc>
        <w:tc>
          <w:tcPr/>
          <w:p>
            <w:pPr>
              <w:pStyle w:val="Compact"/>
            </w:pPr>
            <w:r>
              <w:t xml:space="preserve">90,000,000</w:t>
            </w:r>
          </w:p>
        </w:tc>
      </w:tr>
    </w:tbl>
    <w:tbl>
      <w:tblPr>
        <w:tblStyle w:val="FigureTable"/>
        <w:tblW w:type="auto" w:w="0"/>
        <w:jc w:val="center"/>
        <w:tblLook w:firstRow="0" w:lastRow="0" w:firstColumn="0" w:lastColumn="0"/>
      </w:tblPr>
      <w:tblGrid>
        <w:gridCol w:w="7920"/>
      </w:tblGrid>
      <w:tr>
        <w:tc>
          <w:tcPr/>
          <w:p>
            <w:pPr>
              <w:pStyle w:val="Compact"/>
              <w:jc w:val="center"/>
            </w:pPr>
            <w:r>
              <w:t xml:space="preserve">CAPEX-OPEX by Activity</w:t>
            </w:r>
          </w:p>
        </w:tc>
      </w:tr>
    </w:tbl>
    <w:p>
      <w:pPr>
        <w:pStyle w:val="ImageCaption"/>
      </w:pPr>
      <w:r>
        <w:t xml:space="preserve">CAPEX-OPEX by Activity</w:t>
      </w:r>
    </w:p>
    <w:p>
      <w:pPr>
        <w:pStyle w:val="BodyText"/>
      </w:pPr>
      <w:r>
        <w:t xml:space="preserve">Tổng đầu tư giai đoạn (CAPEX+OPEX) đảm bảo đúng chuẩn kiểm soát tài chính, đồng bộ chi ngân sách và bám sát tiến độ triển khai dự án [2].</w:t>
      </w:r>
    </w:p>
    <w:bookmarkEnd w:id="68"/>
    <w:bookmarkStart w:id="71" w:name="X44e4cdad591d3467ef4b614c758141f576eb44a"/>
    <w:p>
      <w:pPr>
        <w:pStyle w:val="Heading3"/>
      </w:pPr>
      <w:r>
        <w:t xml:space="preserve">3. Tính Toán Hiệu Quả Dự Án: ROI, NPV, Payback Period – So Sánh Benchmark</w:t>
      </w:r>
    </w:p>
    <w:bookmarkStart w:id="69" w:name="Xbb7547d3ec359736cc63db5ae49ffd9384dd9c4"/>
    <w:p>
      <w:pPr>
        <w:pStyle w:val="Heading4"/>
      </w:pPr>
      <w:r>
        <w:t xml:space="preserve">a. Kết quả dự án logicstics automation nội bộ</w:t>
      </w:r>
    </w:p>
    <w:p>
      <w:pPr>
        <w:pStyle w:val="Compact"/>
        <w:numPr>
          <w:ilvl w:val="0"/>
          <w:numId w:val="1021"/>
        </w:numPr>
      </w:pPr>
      <w:r>
        <w:t xml:space="preserve">CAPEX: ≈</w:t>
      </w:r>
      <w:r>
        <w:t xml:space="preserve"> </w:t>
      </w:r>
      <w:r>
        <w:rPr>
          <w:b/>
          <w:bCs/>
        </w:rPr>
        <w:t xml:space="preserve">11 tỷ VND</w:t>
      </w:r>
      <w:r>
        <w:t xml:space="preserve"> </w:t>
      </w:r>
      <w:r>
        <w:t xml:space="preserve">trong 1 năm (triển khai theo cam kết milestone)</w:t>
      </w:r>
    </w:p>
    <w:p>
      <w:pPr>
        <w:pStyle w:val="Compact"/>
        <w:numPr>
          <w:ilvl w:val="0"/>
          <w:numId w:val="1021"/>
        </w:numPr>
      </w:pPr>
      <w:r>
        <w:t xml:space="preserve">OPEX thường niên:</w:t>
      </w:r>
      <w:r>
        <w:t xml:space="preserve"> </w:t>
      </w:r>
      <w:r>
        <w:rPr>
          <w:b/>
          <w:bCs/>
        </w:rPr>
        <w:t xml:space="preserve">1,4 tỷ VND</w:t>
      </w:r>
      <w:r>
        <w:t xml:space="preserve">/năm (tức ~0,35 tỷ/quý cho khối vận hành)</w:t>
      </w:r>
    </w:p>
    <w:p>
      <w:pPr>
        <w:pStyle w:val="Compact"/>
        <w:numPr>
          <w:ilvl w:val="0"/>
          <w:numId w:val="1021"/>
        </w:numPr>
      </w:pPr>
      <w:r>
        <w:t xml:space="preserve">Lợi ích tiết giảm/năm:</w:t>
      </w:r>
      <w:r>
        <w:t xml:space="preserve"> </w:t>
      </w:r>
      <w:r>
        <w:rPr>
          <w:b/>
          <w:bCs/>
        </w:rPr>
        <w:t xml:space="preserve">3,2 tỷ VND</w:t>
      </w:r>
      <w:r>
        <w:t xml:space="preserve"> </w:t>
      </w:r>
      <w:r>
        <w:t xml:space="preserve">(ngân sách lao động),</w:t>
      </w:r>
      <w:r>
        <w:t xml:space="preserve"> </w:t>
      </w:r>
      <w:r>
        <w:rPr>
          <w:b/>
          <w:bCs/>
        </w:rPr>
        <w:t xml:space="preserve">850 triệu VND</w:t>
      </w:r>
      <w:r>
        <w:t xml:space="preserve"> </w:t>
      </w:r>
      <w:r>
        <w:t xml:space="preserve">(giảm lỗi vận hành),</w:t>
      </w:r>
      <w:r>
        <w:t xml:space="preserve"> </w:t>
      </w:r>
      <w:r>
        <w:rPr>
          <w:b/>
          <w:bCs/>
        </w:rPr>
        <w:t xml:space="preserve">1,15 tỷ VND</w:t>
      </w:r>
      <w:r>
        <w:t xml:space="preserve"> </w:t>
      </w:r>
      <w:r>
        <w:t xml:space="preserve">(tăng hiệu quả tổng thể)</w:t>
      </w:r>
    </w:p>
    <w:p>
      <w:pPr>
        <w:pStyle w:val="Compact"/>
        <w:numPr>
          <w:ilvl w:val="0"/>
          <w:numId w:val="1021"/>
        </w:numPr>
      </w:pPr>
      <w:r>
        <w:t xml:space="preserve">Triển khai theo lộ trình này, tính toán nội bộ cho thấy:</w:t>
      </w:r>
    </w:p>
    <w:p>
      <w:pPr>
        <w:pStyle w:val="Compact"/>
        <w:numPr>
          <w:ilvl w:val="1"/>
          <w:numId w:val="1022"/>
        </w:numPr>
      </w:pPr>
      <w:r>
        <w:rPr>
          <w:b/>
          <w:bCs/>
        </w:rPr>
        <w:t xml:space="preserve">NPV (5 năm, discount rate 8%):</w:t>
      </w:r>
      <w:r>
        <w:t xml:space="preserve"> </w:t>
      </w:r>
      <w:r>
        <w:t xml:space="preserve">~7,2 tỷ VND</w:t>
      </w:r>
      <w:r>
        <w:br/>
      </w:r>
    </w:p>
    <w:p>
      <w:pPr>
        <w:pStyle w:val="Compact"/>
        <w:numPr>
          <w:ilvl w:val="1"/>
          <w:numId w:val="1022"/>
        </w:numPr>
      </w:pPr>
      <w:r>
        <w:rPr>
          <w:b/>
          <w:bCs/>
        </w:rPr>
        <w:t xml:space="preserve">Payback Period:</w:t>
      </w:r>
      <w:r>
        <w:t xml:space="preserve"> </w:t>
      </w:r>
      <w:r>
        <w:t xml:space="preserve">2,8 năm</w:t>
      </w:r>
    </w:p>
    <w:p>
      <w:pPr>
        <w:pStyle w:val="Compact"/>
        <w:numPr>
          <w:ilvl w:val="0"/>
          <w:numId w:val="1021"/>
        </w:numPr>
      </w:pPr>
      <w:r>
        <w:t xml:space="preserve">Chỉ tiêu này vượt trung vị ngành (NPV logistics automation thường ~5,5–6,8 tỷ VND, payback 2,9–3,1 năm với dự án quy mô tương tự ASEAN)[3][4][5].</w:t>
      </w:r>
    </w:p>
    <w:p>
      <w:pPr>
        <w:pStyle w:val="Compact"/>
        <w:numPr>
          <w:ilvl w:val="0"/>
          <w:numId w:val="1021"/>
        </w:numPr>
      </w:pPr>
      <w:r>
        <w:t xml:space="preserve">Dự kiến tới quý 1/2025 tiết giảm toàn bộ 670M VND/quý chi phí lao động trực tiếp, nâng biên lợi nhuận logistics lên &gt;6% [1][2][3].</w:t>
      </w:r>
    </w:p>
    <w:tbl>
      <w:tblPr>
        <w:tblStyle w:val="FigureTable"/>
        <w:tblW w:type="auto" w:w="0"/>
        <w:jc w:val="center"/>
        <w:tblLook w:firstRow="0" w:lastRow="0" w:firstColumn="0" w:lastColumn="0"/>
      </w:tblPr>
      <w:tblGrid>
        <w:gridCol w:w="7920"/>
      </w:tblGrid>
      <w:tr>
        <w:tc>
          <w:tcPr/>
          <w:p>
            <w:pPr>
              <w:pStyle w:val="Compact"/>
              <w:jc w:val="center"/>
            </w:pPr>
            <w:r>
              <w:t xml:space="preserve">ROI/NPV/Payback</w:t>
            </w:r>
          </w:p>
        </w:tc>
      </w:tr>
    </w:tbl>
    <w:p>
      <w:pPr>
        <w:pStyle w:val="ImageCaption"/>
      </w:pPr>
      <w:r>
        <w:t xml:space="preserve">ROI/NPV/Payback</w:t>
      </w:r>
    </w:p>
    <w:bookmarkEnd w:id="69"/>
    <w:bookmarkStart w:id="70" w:name="X76c9270fb355d1f7c58a22d815faa999db673c1"/>
    <w:p>
      <w:pPr>
        <w:pStyle w:val="Heading4"/>
      </w:pPr>
      <w:r>
        <w:t xml:space="preserve">b. Benchmark &amp; Bài học kinh nghiệm triển khai khu vực</w:t>
      </w:r>
    </w:p>
    <w:p>
      <w:pPr>
        <w:pStyle w:val="Compact"/>
        <w:numPr>
          <w:ilvl w:val="0"/>
          <w:numId w:val="1023"/>
        </w:numPr>
      </w:pPr>
      <w:r>
        <w:t xml:space="preserve">Theo dữ liệu công khai 2024/ASEAN: NPV phổ biến các dự án automation vừa trong logistics 5–7,2 tỷ VND; payback period 2,8–3 năm, tỷ suất tiết kiệm vận hành 18–23%; KPI phần lớn xoay quanh độ chính xác, tỷ lệ xử lý đơn hiệu quả, và hiệu suất tồn kho [3][4][5].</w:t>
      </w:r>
    </w:p>
    <w:p>
      <w:pPr>
        <w:pStyle w:val="Compact"/>
        <w:numPr>
          <w:ilvl w:val="0"/>
          <w:numId w:val="1023"/>
        </w:numPr>
      </w:pPr>
      <w:r>
        <w:t xml:space="preserve">Ở Việt Nam, nhóm dự án thành công nêu bật việc kiểm soát chặt milestone bằng KPI số hóa và phần mềm quản trị dự án tiên tiến [2][3].</w:t>
      </w:r>
    </w:p>
    <w:bookmarkEnd w:id="70"/>
    <w:bookmarkEnd w:id="71"/>
    <w:bookmarkStart w:id="74" w:name="Xfe73c4255c276f6d969aff9f407d45770a0c4d4"/>
    <w:p>
      <w:pPr>
        <w:pStyle w:val="Heading3"/>
      </w:pPr>
      <w:r>
        <w:t xml:space="preserve">4. KPI Kiểm Soát &amp; Critical Success Factors (CSF) Then Chốt 3 Quý Tới</w:t>
      </w:r>
    </w:p>
    <w:bookmarkStart w:id="72" w:name="a.-đổi-mới-về-kpi-kiểm-soát"/>
    <w:p>
      <w:pPr>
        <w:pStyle w:val="Heading4"/>
      </w:pPr>
      <w:r>
        <w:t xml:space="preserve">a. Đổi mới về KPI kiểm soát:</w:t>
      </w:r>
    </w:p>
    <w:p>
      <w:pPr>
        <w:pStyle w:val="FirstParagraph"/>
      </w:pPr>
      <w:r>
        <w:t xml:space="preserve">Đề xuất bộ KPI then chốt triển khai theo chuẩn quốc tế và các nghiên cứu</w:t>
      </w:r>
      <w:r>
        <w:t xml:space="preserve"> </w:t>
      </w:r>
      <w:r>
        <w:t xml:space="preserve">[6], GoRamp[7], WarehouseWhisper[8]</w:t>
      </w:r>
      <w:r>
        <w:t xml:space="preserve"> </w:t>
      </w:r>
      <w:r>
        <w:t xml:space="preserve">-</w:t>
      </w:r>
      <w:r>
        <w:t xml:space="preserve"> </w:t>
      </w:r>
      <w:r>
        <w:rPr>
          <w:b/>
          <w:bCs/>
        </w:rPr>
        <w:t xml:space="preserve">Tỷ lệ giao hàng đúng hạn (On-Time Delivery Rate):</w:t>
      </w:r>
      <w:r>
        <w:t xml:space="preserve"> </w:t>
      </w:r>
      <w:r>
        <w:t xml:space="preserve">mục tiêu &gt;97% từ tháng 11/2024</w:t>
      </w:r>
      <w:r>
        <w:t xml:space="preserve"> </w:t>
      </w:r>
      <w:r>
        <w:t xml:space="preserve">-</w:t>
      </w:r>
      <w:r>
        <w:t xml:space="preserve"> </w:t>
      </w:r>
      <w:r>
        <w:rPr>
          <w:b/>
          <w:bCs/>
        </w:rPr>
        <w:t xml:space="preserve">Tỷ lệ đơn hàng chính xác (Order Accuracy Rate):</w:t>
      </w:r>
      <w:r>
        <w:t xml:space="preserve"> </w:t>
      </w:r>
      <w:r>
        <w:t xml:space="preserve">mục tiêu &gt;99%</w:t>
      </w:r>
      <w:r>
        <w:t xml:space="preserve"> </w:t>
      </w:r>
      <w:r>
        <w:t xml:space="preserve">-</w:t>
      </w:r>
      <w:r>
        <w:t xml:space="preserve"> </w:t>
      </w:r>
      <w:r>
        <w:rPr>
          <w:b/>
          <w:bCs/>
        </w:rPr>
        <w:t xml:space="preserve">Chỉ số tiết giảm lao động vận hành (Labor Efficiency Index):</w:t>
      </w:r>
      <w:r>
        <w:t xml:space="preserve"> </w:t>
      </w:r>
      <w:r>
        <w:t xml:space="preserve">≥22%/năm</w:t>
      </w:r>
      <w:r>
        <w:t xml:space="preserve"> </w:t>
      </w:r>
      <w:r>
        <w:t xml:space="preserve">-</w:t>
      </w:r>
      <w:r>
        <w:t xml:space="preserve"> </w:t>
      </w:r>
      <w:r>
        <w:rPr>
          <w:b/>
          <w:bCs/>
        </w:rPr>
        <w:t xml:space="preserve">Tỷ lệ lỗi vận hành (Process Error Rate):</w:t>
      </w:r>
      <w:r>
        <w:t xml:space="preserve"> </w:t>
      </w:r>
      <w:r>
        <w:t xml:space="preserve">duy trì &lt;1,2% (chuẩn hóa barcode/hệ thống sensing)</w:t>
      </w:r>
      <w:r>
        <w:t xml:space="preserve"> </w:t>
      </w:r>
      <w:r>
        <w:t xml:space="preserve">-</w:t>
      </w:r>
      <w:r>
        <w:t xml:space="preserve"> </w:t>
      </w:r>
      <w:r>
        <w:rPr>
          <w:b/>
          <w:bCs/>
        </w:rPr>
        <w:t xml:space="preserve">Hiệu suất tồn kho (Inventory Turnover):</w:t>
      </w:r>
      <w:r>
        <w:t xml:space="preserve"> </w:t>
      </w:r>
      <w:r>
        <w:t xml:space="preserve">&gt;=15 vòng/năm</w:t>
      </w:r>
      <w:r>
        <w:t xml:space="preserve"> </w:t>
      </w:r>
      <w:r>
        <w:t xml:space="preserve">-</w:t>
      </w:r>
      <w:r>
        <w:t xml:space="preserve"> </w:t>
      </w:r>
      <w:r>
        <w:rPr>
          <w:b/>
          <w:bCs/>
        </w:rPr>
        <w:t xml:space="preserve">KPI kiểm thử hệ thống (System Test Pass Rate):</w:t>
      </w:r>
      <w:r>
        <w:t xml:space="preserve"> </w:t>
      </w:r>
      <w:r>
        <w:t xml:space="preserve">≥98% ở các mốc UAT/QC</w:t>
      </w:r>
      <w:r>
        <w:t xml:space="preserve"> </w:t>
      </w:r>
      <w:r>
        <w:t xml:space="preserve">-</w:t>
      </w:r>
      <w:r>
        <w:t xml:space="preserve"> </w:t>
      </w:r>
      <w:r>
        <w:rPr>
          <w:b/>
          <w:bCs/>
        </w:rPr>
        <w:t xml:space="preserve">Chỉ số hài lòng khách hàng nội bộ (Internal Customer Satisfaction):</w:t>
      </w:r>
      <w:r>
        <w:t xml:space="preserve"> </w:t>
      </w:r>
      <w:r>
        <w:t xml:space="preserve">&gt;90% đối với phòng khai thác, chăm sóc khách hàng logistics</w:t>
      </w:r>
    </w:p>
    <w:bookmarkEnd w:id="72"/>
    <w:bookmarkStart w:id="73" w:name="X27d4b3f45461f1514af1d3d28fb9f2b6c67b737"/>
    <w:p>
      <w:pPr>
        <w:pStyle w:val="Heading4"/>
      </w:pPr>
      <w:r>
        <w:t xml:space="preserve">b. Critical Success Factors (CSF) đảm bảo thành công:</w:t>
      </w:r>
    </w:p>
    <w:p>
      <w:pPr>
        <w:pStyle w:val="Compact"/>
        <w:numPr>
          <w:ilvl w:val="0"/>
          <w:numId w:val="1024"/>
        </w:numPr>
      </w:pPr>
      <w:r>
        <w:t xml:space="preserve">Triển khai lộ trình đúng</w:t>
      </w:r>
      <w:r>
        <w:t xml:space="preserve"> </w:t>
      </w:r>
      <w:r>
        <w:rPr>
          <w:i/>
          <w:iCs/>
        </w:rPr>
        <w:t xml:space="preserve">Gantt</w:t>
      </w:r>
      <w:r>
        <w:t xml:space="preserve"> </w:t>
      </w:r>
      <w:r>
        <w:t xml:space="preserve">với milestone định lượng rõ ràng, cập nhật realtime trên dashboard</w:t>
      </w:r>
    </w:p>
    <w:p>
      <w:pPr>
        <w:pStyle w:val="Compact"/>
        <w:numPr>
          <w:ilvl w:val="0"/>
          <w:numId w:val="1024"/>
        </w:numPr>
      </w:pPr>
      <w:r>
        <w:t xml:space="preserve">Chủ động tập huấn nhân sự (reskilling), hoàn tất 100% khoá chuyển đổi kỹ năng trước các phase Go-Live quan trọng</w:t>
      </w:r>
    </w:p>
    <w:p>
      <w:pPr>
        <w:pStyle w:val="Compact"/>
        <w:numPr>
          <w:ilvl w:val="0"/>
          <w:numId w:val="1024"/>
        </w:numPr>
      </w:pPr>
      <w:r>
        <w:t xml:space="preserve">Kiểm soát liên tục chi phí/công nợ qua hệ thống tự động báo động vượt ngưỡng</w:t>
      </w:r>
    </w:p>
    <w:p>
      <w:pPr>
        <w:pStyle w:val="Compact"/>
        <w:numPr>
          <w:ilvl w:val="0"/>
          <w:numId w:val="1024"/>
        </w:numPr>
      </w:pPr>
      <w:r>
        <w:t xml:space="preserve">Số hóa kiểm soát risk, update liên tục tiến trình qua phần mềm quản trị dự án tích hợp</w:t>
      </w:r>
    </w:p>
    <w:p>
      <w:pPr>
        <w:pStyle w:val="Compact"/>
        <w:numPr>
          <w:ilvl w:val="0"/>
          <w:numId w:val="1024"/>
        </w:numPr>
      </w:pPr>
      <w:r>
        <w:t xml:space="preserve">Truy vết toàn bộ quy trình vận chuyển/agile change qua QR/barcode và nền tảng cảm biến</w:t>
      </w:r>
    </w:p>
    <w:p>
      <w:pPr>
        <w:pStyle w:val="Compact"/>
        <w:numPr>
          <w:ilvl w:val="0"/>
          <w:numId w:val="1024"/>
        </w:numPr>
      </w:pPr>
      <w:r>
        <w:t xml:space="preserve">Duy trì đào tạo và truyền thông nội bộ suốt dự án, lấy phản hồi định kỳ từ đội ngũ vận hành</w:t>
      </w:r>
      <w:r>
        <w:br/>
      </w:r>
    </w:p>
    <w:p>
      <w:pPr>
        <w:pStyle w:val="Compact"/>
        <w:numPr>
          <w:ilvl w:val="0"/>
          <w:numId w:val="1024"/>
        </w:numPr>
      </w:pPr>
      <w:r>
        <w:t xml:space="preserve">Tuân thủ nghiêm ngặt tiêu chuẩn bảo mật, kiểm soát dữ liệu theo quy định quốc tế [2][6][8][9]</w:t>
      </w:r>
    </w:p>
    <w:p>
      <w:r>
        <w:pict>
          <v:rect style="width:0;height:1.5pt" o:hralign="center" o:hrstd="t" o:hr="t"/>
        </w:pict>
      </w:r>
    </w:p>
    <w:bookmarkEnd w:id="73"/>
    <w:bookmarkEnd w:id="74"/>
    <w:bookmarkStart w:id="81" w:name="nguồn"/>
    <w:p>
      <w:pPr>
        <w:pStyle w:val="Heading3"/>
      </w:pPr>
      <w:r>
        <w:t xml:space="preserve">Nguồn</w:t>
      </w:r>
    </w:p>
    <w:p>
      <w:pPr>
        <w:pStyle w:val="Compact"/>
        <w:numPr>
          <w:ilvl w:val="0"/>
          <w:numId w:val="1025"/>
        </w:numPr>
      </w:pPr>
      <w:r>
        <w:t xml:space="preserve">Internal Database Query:</w:t>
      </w:r>
      <w:r>
        <w:t xml:space="preserve"> </w:t>
      </w:r>
      <w:r>
        <w:t xml:space="preserve">“Provide monthly projected milestones (with key deliverables) for the logistics automation project over the next three quarters (July 2024–March 2025).”</w:t>
      </w:r>
    </w:p>
    <w:p>
      <w:pPr>
        <w:pStyle w:val="Compact"/>
        <w:numPr>
          <w:ilvl w:val="0"/>
          <w:numId w:val="1025"/>
        </w:numPr>
      </w:pPr>
      <w:r>
        <w:t xml:space="preserve">Internal Database Query:</w:t>
      </w:r>
      <w:r>
        <w:t xml:space="preserve"> </w:t>
      </w:r>
      <w:r>
        <w:t xml:space="preserve">“Provide the projected capital and operating expenditures (CAPEX and OPEX) for the logistics automation project over the next three quarters, broken down by quarter and key activity (e.g., equipment purchase, IT implementation, training, process reengineering).”</w:t>
      </w:r>
    </w:p>
    <w:p>
      <w:pPr>
        <w:pStyle w:val="Compact"/>
        <w:numPr>
          <w:ilvl w:val="0"/>
          <w:numId w:val="1025"/>
        </w:numPr>
      </w:pPr>
      <w:r>
        <w:t xml:space="preserve">Internal Database Query:</w:t>
      </w:r>
      <w:r>
        <w:t xml:space="preserve"> </w:t>
      </w:r>
      <w:r>
        <w:t xml:space="preserve">“Calculate projected ROI for the logistics automation project, including expected annual cost savings (labor, error reduction, operational efficiency), net present value (NPV), and payback period based on provided CAPEX/OPEX budgets, for a five-year horizon at an 8% discount rate.”</w:t>
      </w:r>
    </w:p>
    <w:p>
      <w:pPr>
        <w:pStyle w:val="Compact"/>
        <w:numPr>
          <w:ilvl w:val="0"/>
          <w:numId w:val="1025"/>
        </w:numPr>
      </w:pPr>
      <w:hyperlink r:id="rId75">
        <w:r>
          <w:rPr>
            <w:rStyle w:val="Hyperlink"/>
          </w:rPr>
          <w:t xml:space="preserve">20 Best Logistics KPIs and Metric Examples for 2025 Reporting - insightsoftware</w:t>
        </w:r>
      </w:hyperlink>
    </w:p>
    <w:p>
      <w:pPr>
        <w:pStyle w:val="Compact"/>
        <w:numPr>
          <w:ilvl w:val="0"/>
          <w:numId w:val="1025"/>
        </w:numPr>
      </w:pPr>
      <w:hyperlink r:id="rId76">
        <w:r>
          <w:rPr>
            <w:rStyle w:val="Hyperlink"/>
          </w:rPr>
          <w:t xml:space="preserve">20 Logistics KPIs And Metrics To Track In 2025 - GoRamp</w:t>
        </w:r>
      </w:hyperlink>
    </w:p>
    <w:p>
      <w:pPr>
        <w:pStyle w:val="Compact"/>
        <w:numPr>
          <w:ilvl w:val="0"/>
          <w:numId w:val="1025"/>
        </w:numPr>
      </w:pPr>
      <w:hyperlink r:id="rId77">
        <w:r>
          <w:rPr>
            <w:rStyle w:val="Hyperlink"/>
          </w:rPr>
          <w:t xml:space="preserve">Warehouse KPIs That Matter in 2025 – A Practical Guide for Managers</w:t>
        </w:r>
      </w:hyperlink>
    </w:p>
    <w:p>
      <w:pPr>
        <w:pStyle w:val="Compact"/>
        <w:numPr>
          <w:ilvl w:val="0"/>
          <w:numId w:val="1025"/>
        </w:numPr>
      </w:pPr>
      <w:hyperlink r:id="rId78">
        <w:r>
          <w:rPr>
            <w:rStyle w:val="Hyperlink"/>
          </w:rPr>
          <w:t xml:space="preserve">How to Calculate the True ROI of Warehouse Automation</w:t>
        </w:r>
      </w:hyperlink>
    </w:p>
    <w:p>
      <w:pPr>
        <w:pStyle w:val="Compact"/>
        <w:numPr>
          <w:ilvl w:val="0"/>
          <w:numId w:val="1025"/>
        </w:numPr>
      </w:pPr>
      <w:hyperlink r:id="rId79">
        <w:r>
          <w:rPr>
            <w:rStyle w:val="Hyperlink"/>
          </w:rPr>
          <w:t xml:space="preserve">Assessment of the Projects’ Prospects in the Economic and … - MDPI</w:t>
        </w:r>
      </w:hyperlink>
    </w:p>
    <w:p>
      <w:pPr>
        <w:pStyle w:val="Compact"/>
        <w:numPr>
          <w:ilvl w:val="0"/>
          <w:numId w:val="1025"/>
        </w:numPr>
      </w:pPr>
      <w:hyperlink r:id="rId80">
        <w:r>
          <w:rPr>
            <w:rStyle w:val="Hyperlink"/>
          </w:rPr>
          <w:t xml:space="preserve">Vietnam’s Logistics Boom: Infrastructure Investments, E-Commerce …</w:t>
        </w:r>
      </w:hyperlink>
    </w:p>
    <w:bookmarkEnd w:id="81"/>
    <w:bookmarkEnd w:id="82"/>
    <w:bookmarkStart w:id="100" w:name="X780871826d088562150e53cefc433b55a729a33"/>
    <w:p>
      <w:pPr>
        <w:pStyle w:val="Heading2"/>
      </w:pPr>
      <w:r>
        <w:t xml:space="preserve">VII. Quản trị, Chỉ số KPIs &amp; Quản lý rủi ro: Governance, Accountability, Risk</w:t>
      </w:r>
    </w:p>
    <w:p>
      <w:pPr>
        <w:pStyle w:val="FirstParagraph"/>
      </w:pPr>
      <w:r>
        <w:t xml:space="preserve">Phần này cung cấp một cái nhìn tổng thể, dạng ma trận về quản trị, chịu trách nhiệm, giám sát hiệu suất và quản lý rủi ro trên tất cả các mảng giải pháp hiện tại. Cách tiếp cận của chúng tôi ưu tiên tính minh bạch tối đa về phân công trách nhiệm (RACI), các chỉ số hiệu suất có thể đo lường và hành động (KPIs, KRIs), cùng các kế hoạch vững chắc để dự đoán và giảm thiểu rủi ro. Khung quản trị tuân theo các tiêu chuẩn hàng đầu thế giới và thực tiễn thị trường tốt nhất, được tối ưu hóa cho các tổ chức logistics hiện đại và định hướng công nghệ [1][2][3][4][5].</w:t>
      </w:r>
    </w:p>
    <w:bookmarkStart w:id="83" w:name="Xbfff0f465f9904d88e12741baa4a3f67172118a"/>
    <w:p>
      <w:pPr>
        <w:pStyle w:val="Heading3"/>
      </w:pPr>
      <w:r>
        <w:t xml:space="preserve">1. Ma trận chịu trách nhiệm cho giải pháp (RACI)</w:t>
      </w:r>
    </w:p>
    <w:p>
      <w:pPr>
        <w:pStyle w:val="FirstParagraph"/>
      </w:pPr>
      <w:r>
        <w:t xml:space="preserve">Để đảm bảo rõ ràng về quyền sở hữu và trách nhiệm, tất cả các giải pháp/dự án lớn được ánh xạ bên dưới bằng phương pháp RACI chuẩn ngành (Responsible, Accountable, Consulted, Informed - Người thực hiện, Người chịu trách nhiệm, Người được tham vấn, Người được thông báo) [1][2][3][4][5]:</w:t>
      </w:r>
    </w:p>
    <w:tbl>
      <w:tblPr>
        <w:tblStyle w:val="Table"/>
        <w:tblW w:type="pct" w:w="5000"/>
        <w:tblLayout w:type="fixed"/>
        <w:tblLook w:firstRow="1" w:lastRow="0" w:firstColumn="0" w:lastColumn="0" w:noHBand="0" w:noVBand="0" w:val="0020"/>
      </w:tblPr>
      <w:tblGrid>
        <w:gridCol w:w="2220"/>
        <w:gridCol w:w="1380"/>
        <w:gridCol w:w="1320"/>
        <w:gridCol w:w="1560"/>
        <w:gridCol w:w="1440"/>
      </w:tblGrid>
      <w:tr>
        <w:trPr>
          <w:tblHeader w:val="on"/>
        </w:trPr>
        <w:tc>
          <w:tcPr/>
          <w:p>
            <w:pPr>
              <w:pStyle w:val="Compact"/>
            </w:pPr>
            <w:r>
              <w:t xml:space="preserve">Khu vực Dự án/Giải pháp</w:t>
            </w:r>
          </w:p>
        </w:tc>
        <w:tc>
          <w:tcPr/>
          <w:p>
            <w:pPr>
              <w:pStyle w:val="Compact"/>
            </w:pPr>
            <w:r>
              <w:t xml:space="preserve">Responsible</w:t>
            </w:r>
          </w:p>
        </w:tc>
        <w:tc>
          <w:tcPr/>
          <w:p>
            <w:pPr>
              <w:pStyle w:val="Compact"/>
            </w:pPr>
            <w:r>
              <w:t xml:space="preserve">Accountable</w:t>
            </w:r>
          </w:p>
        </w:tc>
        <w:tc>
          <w:tcPr/>
          <w:p>
            <w:pPr>
              <w:pStyle w:val="Compact"/>
            </w:pPr>
            <w:r>
              <w:t xml:space="preserve">Consulted</w:t>
            </w:r>
          </w:p>
        </w:tc>
        <w:tc>
          <w:tcPr/>
          <w:p>
            <w:pPr>
              <w:pStyle w:val="Compact"/>
            </w:pPr>
            <w:r>
              <w:t xml:space="preserve">Informed</w:t>
            </w:r>
          </w:p>
        </w:tc>
      </w:tr>
      <w:tr>
        <w:tc>
          <w:tcPr/>
          <w:p>
            <w:pPr>
              <w:pStyle w:val="Compact"/>
            </w:pPr>
            <w:r>
              <w:t xml:space="preserve">Smart Inventory Tracker</w:t>
            </w:r>
          </w:p>
        </w:tc>
        <w:tc>
          <w:tcPr/>
          <w:p>
            <w:pPr>
              <w:pStyle w:val="Compact"/>
            </w:pPr>
            <w:r>
              <w:t xml:space="preserve">Product Owner</w:t>
            </w:r>
          </w:p>
        </w:tc>
        <w:tc>
          <w:tcPr/>
          <w:p>
            <w:pPr>
              <w:pStyle w:val="Compact"/>
            </w:pPr>
            <w:r>
              <w:t xml:space="preserve">Operations Manager</w:t>
            </w:r>
          </w:p>
        </w:tc>
        <w:tc>
          <w:tcPr/>
          <w:p>
            <w:pPr>
              <w:pStyle w:val="Compact"/>
            </w:pPr>
            <w:r>
              <w:t xml:space="preserve">Data Analyst</w:t>
            </w:r>
          </w:p>
        </w:tc>
        <w:tc>
          <w:tcPr/>
          <w:p>
            <w:pPr>
              <w:pStyle w:val="Compact"/>
            </w:pPr>
            <w:r>
              <w:t xml:space="preserve">Supply Chain Director</w:t>
            </w:r>
          </w:p>
        </w:tc>
      </w:tr>
      <w:tr>
        <w:tc>
          <w:tcPr/>
          <w:p>
            <w:pPr>
              <w:pStyle w:val="Compact"/>
            </w:pPr>
            <w:r>
              <w:t xml:space="preserve">Customer Insights Dashboard</w:t>
            </w:r>
          </w:p>
        </w:tc>
        <w:tc>
          <w:tcPr/>
          <w:p>
            <w:pPr>
              <w:pStyle w:val="Compact"/>
            </w:pPr>
            <w:r>
              <w:t xml:space="preserve">Data Scientist</w:t>
            </w:r>
          </w:p>
        </w:tc>
        <w:tc>
          <w:tcPr/>
          <w:p>
            <w:pPr>
              <w:pStyle w:val="Compact"/>
            </w:pPr>
            <w:r>
              <w:t xml:space="preserve">Analytics Lead</w:t>
            </w:r>
          </w:p>
        </w:tc>
        <w:tc>
          <w:tcPr/>
          <w:p>
            <w:pPr>
              <w:pStyle w:val="Compact"/>
            </w:pPr>
            <w:r>
              <w:t xml:space="preserve">Marketing Manager</w:t>
            </w:r>
          </w:p>
        </w:tc>
        <w:tc>
          <w:tcPr/>
          <w:p>
            <w:pPr>
              <w:pStyle w:val="Compact"/>
            </w:pPr>
            <w:r>
              <w:t xml:space="preserve">Ops Team</w:t>
            </w:r>
          </w:p>
        </w:tc>
      </w:tr>
      <w:tr>
        <w:tc>
          <w:tcPr/>
          <w:p>
            <w:pPr>
              <w:pStyle w:val="Compact"/>
            </w:pPr>
            <w:r>
              <w:t xml:space="preserve">Green Energy Optimizer</w:t>
            </w:r>
          </w:p>
        </w:tc>
        <w:tc>
          <w:tcPr/>
          <w:p>
            <w:pPr>
              <w:pStyle w:val="Compact"/>
            </w:pPr>
            <w:r>
              <w:t xml:space="preserve">Project Lead</w:t>
            </w:r>
          </w:p>
        </w:tc>
        <w:tc>
          <w:tcPr/>
          <w:p>
            <w:pPr>
              <w:pStyle w:val="Compact"/>
            </w:pPr>
            <w:r>
              <w:t xml:space="preserve">Sustainability Officer</w:t>
            </w:r>
          </w:p>
        </w:tc>
        <w:tc>
          <w:tcPr/>
          <w:p>
            <w:pPr>
              <w:pStyle w:val="Compact"/>
            </w:pPr>
            <w:r>
              <w:t xml:space="preserve">Engineering Consultant</w:t>
            </w:r>
          </w:p>
        </w:tc>
        <w:tc>
          <w:tcPr/>
          <w:p>
            <w:pPr>
              <w:pStyle w:val="Compact"/>
            </w:pPr>
            <w:r>
              <w:t xml:space="preserve">Strategy Department</w:t>
            </w:r>
          </w:p>
        </w:tc>
      </w:tr>
      <w:tr>
        <w:tc>
          <w:tcPr/>
          <w:p>
            <w:pPr>
              <w:pStyle w:val="Compact"/>
            </w:pPr>
            <w:r>
              <w:t xml:space="preserve">Remote Workforce Portal</w:t>
            </w:r>
          </w:p>
        </w:tc>
        <w:tc>
          <w:tcPr/>
          <w:p>
            <w:pPr>
              <w:pStyle w:val="Compact"/>
            </w:pPr>
            <w:r>
              <w:t xml:space="preserve">HR Manager</w:t>
            </w:r>
          </w:p>
        </w:tc>
        <w:tc>
          <w:tcPr/>
          <w:p>
            <w:pPr>
              <w:pStyle w:val="Compact"/>
            </w:pPr>
            <w:r>
              <w:t xml:space="preserve">HR Director</w:t>
            </w:r>
          </w:p>
        </w:tc>
        <w:tc>
          <w:tcPr/>
          <w:p>
            <w:pPr>
              <w:pStyle w:val="Compact"/>
            </w:pPr>
            <w:r>
              <w:t xml:space="preserve">Payroll Specialist</w:t>
            </w:r>
          </w:p>
        </w:tc>
        <w:tc>
          <w:tcPr/>
          <w:p>
            <w:pPr>
              <w:pStyle w:val="Compact"/>
            </w:pPr>
            <w:r>
              <w:t xml:space="preserve">Employees</w:t>
            </w:r>
          </w:p>
        </w:tc>
      </w:tr>
      <w:tr>
        <w:tc>
          <w:tcPr/>
          <w:p>
            <w:pPr>
              <w:pStyle w:val="Compact"/>
            </w:pPr>
            <w:r>
              <w:t xml:space="preserve">Predictive Maintenance Suite</w:t>
            </w:r>
          </w:p>
        </w:tc>
        <w:tc>
          <w:tcPr/>
          <w:p>
            <w:pPr>
              <w:pStyle w:val="Compact"/>
            </w:pPr>
            <w:r>
              <w:t xml:space="preserve">Tech Lead</w:t>
            </w:r>
          </w:p>
        </w:tc>
        <w:tc>
          <w:tcPr/>
          <w:p>
            <w:pPr>
              <w:pStyle w:val="Compact"/>
            </w:pPr>
            <w:r>
              <w:t xml:space="preserve">Engineering Manager</w:t>
            </w:r>
          </w:p>
        </w:tc>
        <w:tc>
          <w:tcPr/>
          <w:p>
            <w:pPr>
              <w:pStyle w:val="Compact"/>
            </w:pPr>
            <w:r>
              <w:t xml:space="preserve">IT Support</w:t>
            </w:r>
          </w:p>
        </w:tc>
        <w:tc>
          <w:tcPr/>
          <w:p>
            <w:pPr>
              <w:pStyle w:val="Compact"/>
            </w:pPr>
            <w:r>
              <w:t xml:space="preserve">Factory Manager</w:t>
            </w:r>
          </w:p>
        </w:tc>
      </w:tr>
      <w:tr>
        <w:tc>
          <w:tcPr/>
          <w:p>
            <w:pPr>
              <w:pStyle w:val="Compact"/>
            </w:pPr>
            <w:r>
              <w:t xml:space="preserve">Omnichannel Retail Hub</w:t>
            </w:r>
          </w:p>
        </w:tc>
        <w:tc>
          <w:tcPr/>
          <w:p>
            <w:pPr>
              <w:pStyle w:val="Compact"/>
            </w:pPr>
            <w:r>
              <w:t xml:space="preserve">Sales Associate</w:t>
            </w:r>
          </w:p>
        </w:tc>
        <w:tc>
          <w:tcPr/>
          <w:p>
            <w:pPr>
              <w:pStyle w:val="Compact"/>
            </w:pPr>
            <w:r>
              <w:t xml:space="preserve">Sales Director</w:t>
            </w:r>
          </w:p>
        </w:tc>
        <w:tc>
          <w:tcPr/>
          <w:p>
            <w:pPr>
              <w:pStyle w:val="Compact"/>
            </w:pPr>
            <w:r>
              <w:t xml:space="preserve">E-commerce Lead</w:t>
            </w:r>
          </w:p>
        </w:tc>
        <w:tc>
          <w:tcPr/>
          <w:p>
            <w:pPr>
              <w:pStyle w:val="Compact"/>
            </w:pPr>
            <w:r>
              <w:t xml:space="preserve">Store Managers</w:t>
            </w:r>
          </w:p>
        </w:tc>
      </w:tr>
      <w:tr>
        <w:tc>
          <w:tcPr/>
          <w:p>
            <w:pPr>
              <w:pStyle w:val="Compact"/>
            </w:pPr>
            <w:r>
              <w:t xml:space="preserve">Automated Compliance Checker</w:t>
            </w:r>
          </w:p>
        </w:tc>
        <w:tc>
          <w:tcPr/>
          <w:p>
            <w:pPr>
              <w:pStyle w:val="Compact"/>
            </w:pPr>
            <w:r>
              <w:t xml:space="preserve">Compliance Analyst</w:t>
            </w:r>
          </w:p>
        </w:tc>
        <w:tc>
          <w:tcPr/>
          <w:p>
            <w:pPr>
              <w:pStyle w:val="Compact"/>
            </w:pPr>
            <w:r>
              <w:t xml:space="preserve">Compliance Officer</w:t>
            </w:r>
          </w:p>
        </w:tc>
        <w:tc>
          <w:tcPr/>
          <w:p>
            <w:pPr>
              <w:pStyle w:val="Compact"/>
            </w:pPr>
            <w:r>
              <w:t xml:space="preserve">Regulatory Consultant</w:t>
            </w:r>
          </w:p>
        </w:tc>
        <w:tc>
          <w:tcPr/>
          <w:p>
            <w:pPr>
              <w:pStyle w:val="Compact"/>
            </w:pPr>
            <w:r>
              <w:t xml:space="preserve">Legal Council</w:t>
            </w:r>
          </w:p>
        </w:tc>
      </w:tr>
      <w:tr>
        <w:tc>
          <w:tcPr/>
          <w:p>
            <w:pPr>
              <w:pStyle w:val="Compact"/>
            </w:pPr>
            <w:r>
              <w:t xml:space="preserve">Personalized Learning Platform</w:t>
            </w:r>
          </w:p>
        </w:tc>
        <w:tc>
          <w:tcPr/>
          <w:p>
            <w:pPr>
              <w:pStyle w:val="Compact"/>
            </w:pPr>
            <w:r>
              <w:t xml:space="preserve">Content Designer</w:t>
            </w:r>
          </w:p>
        </w:tc>
        <w:tc>
          <w:tcPr/>
          <w:p>
            <w:pPr>
              <w:pStyle w:val="Compact"/>
            </w:pPr>
            <w:r>
              <w:t xml:space="preserve">Instructional Designer</w:t>
            </w:r>
          </w:p>
        </w:tc>
        <w:tc>
          <w:tcPr/>
          <w:p>
            <w:pPr>
              <w:pStyle w:val="Compact"/>
            </w:pPr>
            <w:r>
              <w:t xml:space="preserve">Academic Consultant</w:t>
            </w:r>
          </w:p>
        </w:tc>
        <w:tc>
          <w:tcPr/>
          <w:p>
            <w:pPr>
              <w:pStyle w:val="Compact"/>
            </w:pPr>
            <w:r>
              <w:t xml:space="preserve">Teachers</w:t>
            </w:r>
          </w:p>
        </w:tc>
      </w:tr>
      <w:tr>
        <w:tc>
          <w:tcPr/>
          <w:p>
            <w:pPr>
              <w:pStyle w:val="Compact"/>
            </w:pPr>
            <w:r>
              <w:t xml:space="preserve">Fleet Efficiency Monitor</w:t>
            </w:r>
          </w:p>
        </w:tc>
        <w:tc>
          <w:tcPr/>
          <w:p>
            <w:pPr>
              <w:pStyle w:val="Compact"/>
            </w:pPr>
            <w:r>
              <w:t xml:space="preserve">Fleet Coordinator</w:t>
            </w:r>
          </w:p>
        </w:tc>
        <w:tc>
          <w:tcPr/>
          <w:p>
            <w:pPr>
              <w:pStyle w:val="Compact"/>
            </w:pPr>
            <w:r>
              <w:t xml:space="preserve">Logistics Coordinator</w:t>
            </w:r>
          </w:p>
        </w:tc>
        <w:tc>
          <w:tcPr/>
          <w:p>
            <w:pPr>
              <w:pStyle w:val="Compact"/>
            </w:pPr>
            <w:r>
              <w:t xml:space="preserve">Maintenance Specialist</w:t>
            </w:r>
          </w:p>
        </w:tc>
        <w:tc>
          <w:tcPr/>
          <w:p>
            <w:pPr>
              <w:pStyle w:val="Compact"/>
            </w:pPr>
            <w:r>
              <w:t xml:space="preserve">Drivers</w:t>
            </w:r>
          </w:p>
        </w:tc>
      </w:tr>
      <w:tr>
        <w:tc>
          <w:tcPr/>
          <w:p>
            <w:pPr>
              <w:pStyle w:val="Compact"/>
            </w:pPr>
            <w:r>
              <w:t xml:space="preserve">Digital Patient Records</w:t>
            </w:r>
          </w:p>
        </w:tc>
        <w:tc>
          <w:tcPr/>
          <w:p>
            <w:pPr>
              <w:pStyle w:val="Compact"/>
            </w:pPr>
            <w:r>
              <w:t xml:space="preserve">Health IT Specialist</w:t>
            </w:r>
          </w:p>
        </w:tc>
        <w:tc>
          <w:tcPr/>
          <w:p>
            <w:pPr>
              <w:pStyle w:val="Compact"/>
            </w:pPr>
            <w:r>
              <w:t xml:space="preserve">Health IT Lead</w:t>
            </w:r>
          </w:p>
        </w:tc>
        <w:tc>
          <w:tcPr/>
          <w:p>
            <w:pPr>
              <w:pStyle w:val="Compact"/>
            </w:pPr>
            <w:r>
              <w:t xml:space="preserve">Clinical Consultant</w:t>
            </w:r>
          </w:p>
        </w:tc>
        <w:tc>
          <w:tcPr/>
          <w:p>
            <w:pPr>
              <w:pStyle w:val="Compact"/>
            </w:pPr>
            <w:r>
              <w:t xml:space="preserve">Medical Staff</w:t>
            </w:r>
          </w:p>
        </w:tc>
      </w:tr>
      <w:tr>
        <w:tc>
          <w:tcPr/>
          <w:p>
            <w:pPr>
              <w:pStyle w:val="Compact"/>
            </w:pPr>
            <w:r>
              <w:t xml:space="preserve">Fraud Detection Engine</w:t>
            </w:r>
          </w:p>
        </w:tc>
        <w:tc>
          <w:tcPr/>
          <w:p>
            <w:pPr>
              <w:pStyle w:val="Compact"/>
            </w:pPr>
            <w:r>
              <w:t xml:space="preserve">Security Analyst</w:t>
            </w:r>
          </w:p>
        </w:tc>
        <w:tc>
          <w:tcPr/>
          <w:p>
            <w:pPr>
              <w:pStyle w:val="Compact"/>
            </w:pPr>
            <w:r>
              <w:t xml:space="preserve">Security Lead</w:t>
            </w:r>
          </w:p>
        </w:tc>
        <w:tc>
          <w:tcPr/>
          <w:p>
            <w:pPr>
              <w:pStyle w:val="Compact"/>
            </w:pPr>
            <w:r>
              <w:t xml:space="preserve">Risk Manager</w:t>
            </w:r>
          </w:p>
        </w:tc>
        <w:tc>
          <w:tcPr/>
          <w:p>
            <w:pPr>
              <w:pStyle w:val="Compact"/>
            </w:pPr>
            <w:r>
              <w:t xml:space="preserve">Audit Committee</w:t>
            </w:r>
          </w:p>
        </w:tc>
      </w:tr>
      <w:tr>
        <w:tc>
          <w:tcPr/>
          <w:p>
            <w:pPr>
              <w:pStyle w:val="Compact"/>
            </w:pPr>
            <w:r>
              <w:t xml:space="preserve">Smart Building Controls</w:t>
            </w:r>
          </w:p>
        </w:tc>
        <w:tc>
          <w:tcPr/>
          <w:p>
            <w:pPr>
              <w:pStyle w:val="Compact"/>
            </w:pPr>
            <w:r>
              <w:t xml:space="preserve">Facilities Technician</w:t>
            </w:r>
          </w:p>
        </w:tc>
        <w:tc>
          <w:tcPr/>
          <w:p>
            <w:pPr>
              <w:pStyle w:val="Compact"/>
            </w:pPr>
            <w:r>
              <w:t xml:space="preserve">Facilities Manager</w:t>
            </w:r>
          </w:p>
        </w:tc>
        <w:tc>
          <w:tcPr/>
          <w:p>
            <w:pPr>
              <w:pStyle w:val="Compact"/>
            </w:pPr>
            <w:r>
              <w:t xml:space="preserve">Construction Consultant</w:t>
            </w:r>
          </w:p>
        </w:tc>
        <w:tc>
          <w:tcPr/>
          <w:p>
            <w:pPr>
              <w:pStyle w:val="Compact"/>
            </w:pPr>
            <w:r>
              <w:t xml:space="preserve">Tenants</w:t>
            </w:r>
          </w:p>
        </w:tc>
      </w:tr>
    </w:tbl>
    <w:p>
      <w:pPr>
        <w:pStyle w:val="BodyText"/>
      </w:pPr>
      <w:r>
        <w:t xml:space="preserve">Xem tóm tắt trực quan cho tất cả các phân bổ trách nhiệm giải pháp:</w:t>
      </w:r>
    </w:p>
    <w:tbl>
      <w:tblPr>
        <w:tblStyle w:val="FigureTable"/>
        <w:tblW w:type="auto" w:w="0"/>
        <w:jc w:val="center"/>
        <w:tblLook w:firstRow="0" w:lastRow="0" w:firstColumn="0" w:lastColumn="0"/>
      </w:tblPr>
      <w:tblGrid>
        <w:gridCol w:w="7920"/>
      </w:tblGrid>
      <w:tr>
        <w:tc>
          <w:tcPr/>
          <w:p>
            <w:pPr>
              <w:pStyle w:val="Compact"/>
              <w:jc w:val="center"/>
            </w:pPr>
            <w:r>
              <w:t xml:space="preserve">Accountable Leads by Solution Area</w:t>
            </w:r>
          </w:p>
        </w:tc>
      </w:tr>
    </w:tbl>
    <w:p>
      <w:pPr>
        <w:pStyle w:val="ImageCaption"/>
      </w:pPr>
      <w:r>
        <w:t xml:space="preserve">Accountable Leads by Solution Area</w:t>
      </w:r>
    </w:p>
    <w:p>
      <w:pPr>
        <w:pStyle w:val="BodyText"/>
      </w:pPr>
      <w:r>
        <w:t xml:space="preserve">Bên cạnh đó, bản phân phối RACI mới nhất toàn công ty cho các dự án chuyên biệt được thể hiện ở đây:</w:t>
      </w:r>
    </w:p>
    <w:tbl>
      <w:tblPr>
        <w:tblStyle w:val="FigureTable"/>
        <w:tblW w:type="auto" w:w="0"/>
        <w:jc w:val="center"/>
        <w:tblLook w:firstRow="0" w:lastRow="0" w:firstColumn="0" w:lastColumn="0"/>
      </w:tblPr>
      <w:tblGrid>
        <w:gridCol w:w="7920"/>
      </w:tblGrid>
      <w:tr>
        <w:tc>
          <w:tcPr/>
          <w:p>
            <w:pPr>
              <w:pStyle w:val="Compact"/>
              <w:jc w:val="center"/>
            </w:pPr>
            <w:r>
              <w:t xml:space="preserve">RACI Matrix</w:t>
            </w:r>
          </w:p>
        </w:tc>
      </w:tr>
    </w:tbl>
    <w:p>
      <w:pPr>
        <w:pStyle w:val="ImageCaption"/>
      </w:pPr>
      <w:r>
        <w:t xml:space="preserve">RACI Matrix</w:t>
      </w:r>
    </w:p>
    <w:bookmarkEnd w:id="83"/>
    <w:bookmarkStart w:id="84" w:name="X2c12a51b874e4568e80b14bec3df6db4dbd8fd7"/>
    <w:p>
      <w:pPr>
        <w:pStyle w:val="Heading3"/>
      </w:pPr>
      <w:r>
        <w:t xml:space="preserve">2. Ma trận KPIs &amp; Chỉ số cảnh báo sớm (KPIs, KRIs)</w:t>
      </w:r>
    </w:p>
    <w:p>
      <w:pPr>
        <w:pStyle w:val="FirstParagraph"/>
      </w:pPr>
      <w:r>
        <w:t xml:space="preserve">Mỗi giải pháp/dự án đều được giám sát liên tục bởi một bộ chỉ số hiệu suất chính (KPIs) và chỉ số rủi ro chính (KRIs/chỉ báo cảnh báo sớm), được so sánh tham chiếu với chuẩn ngành logistics và vận hành số hóa [6][7][8][9][10].</w:t>
      </w:r>
    </w:p>
    <w:tbl>
      <w:tblPr>
        <w:tblStyle w:val="Table"/>
        <w:tblW w:type="pct" w:w="5000"/>
        <w:tblLayout w:type="fixed"/>
        <w:tblLook w:firstRow="1" w:lastRow="0" w:firstColumn="0" w:lastColumn="0" w:noHBand="0" w:noVBand="0" w:val="0020"/>
      </w:tblPr>
      <w:tblGrid>
        <w:gridCol w:w="1819"/>
        <w:gridCol w:w="1658"/>
        <w:gridCol w:w="1016"/>
        <w:gridCol w:w="2033"/>
        <w:gridCol w:w="1391"/>
      </w:tblGrid>
      <w:tr>
        <w:trPr>
          <w:tblHeader w:val="on"/>
        </w:trPr>
        <w:tc>
          <w:tcPr/>
          <w:p>
            <w:pPr>
              <w:pStyle w:val="Compact"/>
            </w:pPr>
            <w:r>
              <w:t xml:space="preserve">Dự án/Giải pháp</w:t>
            </w:r>
          </w:p>
        </w:tc>
        <w:tc>
          <w:tcPr/>
          <w:p>
            <w:pPr>
              <w:pStyle w:val="Compact"/>
            </w:pPr>
            <w:r>
              <w:t xml:space="preserve">KPI Đang Giám sát</w:t>
            </w:r>
          </w:p>
        </w:tc>
        <w:tc>
          <w:tcPr/>
          <w:p>
            <w:pPr>
              <w:pStyle w:val="Compact"/>
            </w:pPr>
            <w:r>
              <w:t xml:space="preserve">Giá trị hiện tại</w:t>
            </w:r>
          </w:p>
        </w:tc>
        <w:tc>
          <w:tcPr/>
          <w:p>
            <w:pPr>
              <w:pStyle w:val="Compact"/>
            </w:pPr>
            <w:r>
              <w:t xml:space="preserve">Chỉ số rủi ro chính (KRI)</w:t>
            </w:r>
          </w:p>
        </w:tc>
        <w:tc>
          <w:tcPr/>
          <w:p>
            <w:pPr>
              <w:pStyle w:val="Compact"/>
            </w:pPr>
            <w:r>
              <w:t xml:space="preserve">Giá trị rủi ro hiện tại</w:t>
            </w:r>
          </w:p>
        </w:tc>
      </w:tr>
      <w:tr>
        <w:tc>
          <w:tcPr/>
          <w:p>
            <w:pPr>
              <w:pStyle w:val="Compact"/>
            </w:pPr>
            <w:r>
              <w:t xml:space="preserve">Smart Inventory Tracker</w:t>
            </w:r>
          </w:p>
        </w:tc>
        <w:tc>
          <w:tcPr/>
          <w:p>
            <w:pPr>
              <w:pStyle w:val="Compact"/>
            </w:pPr>
            <w:r>
              <w:t xml:space="preserve">Stock Accuracy Rate</w:t>
            </w:r>
          </w:p>
        </w:tc>
        <w:tc>
          <w:tcPr/>
          <w:p>
            <w:pPr>
              <w:pStyle w:val="Compact"/>
            </w:pPr>
            <w:r>
              <w:t xml:space="preserve">98.5%</w:t>
            </w:r>
          </w:p>
        </w:tc>
        <w:tc>
          <w:tcPr/>
          <w:p>
            <w:pPr>
              <w:pStyle w:val="Compact"/>
            </w:pPr>
            <w:r>
              <w:t xml:space="preserve">Inventory Discrepancies</w:t>
            </w:r>
          </w:p>
        </w:tc>
        <w:tc>
          <w:tcPr/>
          <w:p>
            <w:pPr>
              <w:pStyle w:val="Compact"/>
            </w:pPr>
            <w:r>
              <w:t xml:space="preserve">2</w:t>
            </w:r>
          </w:p>
        </w:tc>
      </w:tr>
      <w:tr>
        <w:tc>
          <w:tcPr/>
          <w:p>
            <w:pPr>
              <w:pStyle w:val="Compact"/>
            </w:pPr>
          </w:p>
        </w:tc>
        <w:tc>
          <w:tcPr/>
          <w:p>
            <w:pPr>
              <w:pStyle w:val="Compact"/>
            </w:pPr>
            <w:r>
              <w:t xml:space="preserve">Order Fulfillment Time</w:t>
            </w:r>
          </w:p>
        </w:tc>
        <w:tc>
          <w:tcPr/>
          <w:p>
            <w:pPr>
              <w:pStyle w:val="Compact"/>
            </w:pPr>
            <w:r>
              <w:t xml:space="preserve">2.1 days</w:t>
            </w:r>
          </w:p>
        </w:tc>
        <w:tc>
          <w:tcPr/>
          <w:p>
            <w:pPr>
              <w:pStyle w:val="Compact"/>
            </w:pPr>
            <w:r>
              <w:t xml:space="preserve">Missed Shipments</w:t>
            </w:r>
          </w:p>
        </w:tc>
        <w:tc>
          <w:tcPr/>
          <w:p>
            <w:pPr>
              <w:pStyle w:val="Compact"/>
            </w:pPr>
            <w:r>
              <w:t xml:space="preserve">3</w:t>
            </w:r>
          </w:p>
        </w:tc>
      </w:tr>
      <w:tr>
        <w:tc>
          <w:tcPr/>
          <w:p>
            <w:pPr>
              <w:pStyle w:val="Compact"/>
            </w:pPr>
          </w:p>
        </w:tc>
        <w:tc>
          <w:tcPr/>
          <w:p>
            <w:pPr>
              <w:pStyle w:val="Compact"/>
            </w:pPr>
            <w:r>
              <w:t xml:space="preserve">Inventory Turnover</w:t>
            </w:r>
          </w:p>
        </w:tc>
        <w:tc>
          <w:tcPr/>
          <w:p>
            <w:pPr>
              <w:pStyle w:val="Compact"/>
            </w:pPr>
            <w:r>
              <w:t xml:space="preserve">7.4</w:t>
            </w:r>
          </w:p>
        </w:tc>
        <w:tc>
          <w:tcPr/>
          <w:p>
            <w:pPr>
              <w:pStyle w:val="Compact"/>
            </w:pPr>
            <w:r>
              <w:t xml:space="preserve">Stockouts</w:t>
            </w:r>
          </w:p>
        </w:tc>
        <w:tc>
          <w:tcPr/>
          <w:p>
            <w:pPr>
              <w:pStyle w:val="Compact"/>
            </w:pPr>
            <w:r>
              <w:t xml:space="preserve">1</w:t>
            </w:r>
          </w:p>
        </w:tc>
      </w:tr>
      <w:tr>
        <w:tc>
          <w:tcPr/>
          <w:p>
            <w:pPr>
              <w:pStyle w:val="Compact"/>
            </w:pPr>
          </w:p>
        </w:tc>
        <w:tc>
          <w:tcPr/>
          <w:p>
            <w:pPr>
              <w:pStyle w:val="Compact"/>
            </w:pPr>
            <w:r>
              <w:t xml:space="preserve">Backorder Rate</w:t>
            </w:r>
          </w:p>
        </w:tc>
        <w:tc>
          <w:tcPr/>
          <w:p>
            <w:pPr>
              <w:pStyle w:val="Compact"/>
            </w:pPr>
            <w:r>
              <w:t xml:space="preserve">1.1%</w:t>
            </w:r>
          </w:p>
        </w:tc>
        <w:tc>
          <w:tcPr/>
          <w:p>
            <w:pPr>
              <w:pStyle w:val="Compact"/>
            </w:pPr>
            <w:r>
              <w:t xml:space="preserve">Supplier Delays</w:t>
            </w:r>
          </w:p>
        </w:tc>
        <w:tc>
          <w:tcPr/>
          <w:p>
            <w:pPr>
              <w:pStyle w:val="Compact"/>
            </w:pPr>
            <w:r>
              <w:t xml:space="preserve">2</w:t>
            </w:r>
          </w:p>
        </w:tc>
      </w:tr>
      <w:tr>
        <w:tc>
          <w:tcPr/>
          <w:p>
            <w:pPr>
              <w:pStyle w:val="Compact"/>
            </w:pPr>
          </w:p>
        </w:tc>
        <w:tc>
          <w:tcPr/>
          <w:p>
            <w:pPr>
              <w:pStyle w:val="Compact"/>
            </w:pPr>
            <w:r>
              <w:t xml:space="preserve">Receiving Accuracy</w:t>
            </w:r>
          </w:p>
        </w:tc>
        <w:tc>
          <w:tcPr/>
          <w:p>
            <w:pPr>
              <w:pStyle w:val="Compact"/>
            </w:pPr>
            <w:r>
              <w:t xml:space="preserve">99.2%</w:t>
            </w:r>
          </w:p>
        </w:tc>
        <w:tc>
          <w:tcPr/>
          <w:p>
            <w:pPr>
              <w:pStyle w:val="Compact"/>
            </w:pPr>
            <w:r>
              <w:t xml:space="preserve">Damaged Goods</w:t>
            </w:r>
          </w:p>
        </w:tc>
        <w:tc>
          <w:tcPr/>
          <w:p>
            <w:pPr>
              <w:pStyle w:val="Compact"/>
            </w:pPr>
            <w:r>
              <w:t xml:space="preserve">1</w:t>
            </w:r>
          </w:p>
        </w:tc>
      </w:tr>
      <w:tr>
        <w:tc>
          <w:tcPr/>
          <w:p>
            <w:pPr>
              <w:pStyle w:val="Compact"/>
            </w:pPr>
            <w:r>
              <w:t xml:space="preserve">Customer Insights Dashboard</w:t>
            </w:r>
          </w:p>
        </w:tc>
        <w:tc>
          <w:tcPr/>
          <w:p>
            <w:pPr>
              <w:pStyle w:val="Compact"/>
            </w:pPr>
            <w:r>
              <w:t xml:space="preserve">Customer Satisfaction Score</w:t>
            </w:r>
          </w:p>
        </w:tc>
        <w:tc>
          <w:tcPr/>
          <w:p>
            <w:pPr>
              <w:pStyle w:val="Compact"/>
            </w:pPr>
            <w:r>
              <w:t xml:space="preserve">87%</w:t>
            </w:r>
          </w:p>
        </w:tc>
        <w:tc>
          <w:tcPr/>
          <w:p>
            <w:pPr>
              <w:pStyle w:val="Compact"/>
            </w:pPr>
            <w:r>
              <w:t xml:space="preserve">Data Breach Incidents</w:t>
            </w:r>
          </w:p>
        </w:tc>
        <w:tc>
          <w:tcPr/>
          <w:p>
            <w:pPr>
              <w:pStyle w:val="Compact"/>
            </w:pPr>
            <w:r>
              <w:t xml:space="preserve">0</w:t>
            </w:r>
          </w:p>
        </w:tc>
      </w:tr>
      <w:tr>
        <w:tc>
          <w:tcPr/>
          <w:p>
            <w:pPr>
              <w:pStyle w:val="Compact"/>
            </w:pPr>
          </w:p>
        </w:tc>
        <w:tc>
          <w:tcPr/>
          <w:p>
            <w:pPr>
              <w:pStyle w:val="Compact"/>
            </w:pPr>
            <w:r>
              <w:t xml:space="preserve">Net Promoter Score</w:t>
            </w:r>
          </w:p>
        </w:tc>
        <w:tc>
          <w:tcPr/>
          <w:p>
            <w:pPr>
              <w:pStyle w:val="Compact"/>
            </w:pPr>
            <w:r>
              <w:t xml:space="preserve">62</w:t>
            </w:r>
          </w:p>
        </w:tc>
        <w:tc>
          <w:tcPr/>
          <w:p>
            <w:pPr>
              <w:pStyle w:val="Compact"/>
            </w:pPr>
            <w:r>
              <w:t xml:space="preserve">Unauthorized Access Attempts</w:t>
            </w:r>
          </w:p>
        </w:tc>
        <w:tc>
          <w:tcPr/>
          <w:p>
            <w:pPr>
              <w:pStyle w:val="Compact"/>
            </w:pPr>
            <w:r>
              <w:t xml:space="preserve">2</w:t>
            </w:r>
          </w:p>
        </w:tc>
      </w:tr>
      <w:tr>
        <w:tc>
          <w:tcPr/>
          <w:p>
            <w:pPr>
              <w:pStyle w:val="Compact"/>
            </w:pPr>
          </w:p>
        </w:tc>
        <w:tc>
          <w:tcPr/>
          <w:p>
            <w:pPr>
              <w:pStyle w:val="Compact"/>
            </w:pPr>
            <w:r>
              <w:t xml:space="preserve">Churn Rate</w:t>
            </w:r>
          </w:p>
        </w:tc>
        <w:tc>
          <w:tcPr/>
          <w:p>
            <w:pPr>
              <w:pStyle w:val="Compact"/>
            </w:pPr>
            <w:r>
              <w:t xml:space="preserve">5.6%</w:t>
            </w:r>
          </w:p>
        </w:tc>
        <w:tc>
          <w:tcPr/>
          <w:p>
            <w:pPr>
              <w:pStyle w:val="Compact"/>
            </w:pPr>
            <w:r>
              <w:t xml:space="preserve">Data Quality Issues</w:t>
            </w:r>
          </w:p>
        </w:tc>
        <w:tc>
          <w:tcPr/>
          <w:p>
            <w:pPr>
              <w:pStyle w:val="Compact"/>
            </w:pPr>
            <w:r>
              <w:t xml:space="preserve">4</w:t>
            </w:r>
          </w:p>
        </w:tc>
      </w:tr>
      <w:tr>
        <w:tc>
          <w:tcPr/>
          <w:p>
            <w:pPr>
              <w:pStyle w:val="Compact"/>
            </w:pPr>
          </w:p>
        </w:tc>
        <w:tc>
          <w:tcPr/>
          <w:p>
            <w:pPr>
              <w:pStyle w:val="Compact"/>
            </w:pPr>
            <w:r>
              <w:t xml:space="preserve">Engagement Rate</w:t>
            </w:r>
          </w:p>
        </w:tc>
        <w:tc>
          <w:tcPr/>
          <w:p>
            <w:pPr>
              <w:pStyle w:val="Compact"/>
            </w:pPr>
            <w:r>
              <w:t xml:space="preserve">72%</w:t>
            </w:r>
          </w:p>
        </w:tc>
        <w:tc>
          <w:tcPr/>
          <w:p>
            <w:pPr>
              <w:pStyle w:val="Compact"/>
            </w:pPr>
            <w:r>
              <w:t xml:space="preserve">System Downtime</w:t>
            </w:r>
          </w:p>
        </w:tc>
        <w:tc>
          <w:tcPr/>
          <w:p>
            <w:pPr>
              <w:pStyle w:val="Compact"/>
            </w:pPr>
            <w:r>
              <w:t xml:space="preserve">0.2%</w:t>
            </w:r>
          </w:p>
        </w:tc>
      </w:tr>
      <w:tr>
        <w:tc>
          <w:tcPr/>
          <w:p>
            <w:pPr>
              <w:pStyle w:val="Compact"/>
            </w:pPr>
          </w:p>
        </w:tc>
        <w:tc>
          <w:tcPr/>
          <w:p>
            <w:pPr>
              <w:pStyle w:val="Compact"/>
            </w:pPr>
            <w:r>
              <w:t xml:space="preserve">Response Time</w:t>
            </w:r>
          </w:p>
        </w:tc>
        <w:tc>
          <w:tcPr/>
          <w:p>
            <w:pPr>
              <w:pStyle w:val="Compact"/>
            </w:pPr>
            <w:r>
              <w:t xml:space="preserve">1.8 hrs</w:t>
            </w:r>
          </w:p>
        </w:tc>
        <w:tc>
          <w:tcPr/>
          <w:p>
            <w:pPr>
              <w:pStyle w:val="Compact"/>
            </w:pPr>
            <w:r>
              <w:t xml:space="preserve">API Errors</w:t>
            </w:r>
          </w:p>
        </w:tc>
        <w:tc>
          <w:tcPr/>
          <w:p>
            <w:pPr>
              <w:pStyle w:val="Compact"/>
            </w:pPr>
            <w:r>
              <w:t xml:space="preserve">3</w:t>
            </w:r>
          </w:p>
        </w:tc>
      </w:tr>
      <w:tr>
        <w:tc>
          <w:tcPr/>
          <w:p>
            <w:pPr>
              <w:pStyle w:val="Compact"/>
            </w:pPr>
            <w:r>
              <w:t xml:space="preserve">Mobile Sales App</w:t>
            </w:r>
          </w:p>
        </w:tc>
        <w:tc>
          <w:tcPr/>
          <w:p>
            <w:pPr>
              <w:pStyle w:val="Compact"/>
            </w:pPr>
            <w:r>
              <w:t xml:space="preserve">Monthly Active Users</w:t>
            </w:r>
          </w:p>
        </w:tc>
        <w:tc>
          <w:tcPr/>
          <w:p>
            <w:pPr>
              <w:pStyle w:val="Compact"/>
            </w:pPr>
            <w:r>
              <w:t xml:space="preserve">12,500</w:t>
            </w:r>
          </w:p>
        </w:tc>
        <w:tc>
          <w:tcPr/>
          <w:p>
            <w:pPr>
              <w:pStyle w:val="Compact"/>
            </w:pPr>
            <w:r>
              <w:t xml:space="preserve">App Crash Rate</w:t>
            </w:r>
          </w:p>
        </w:tc>
        <w:tc>
          <w:tcPr/>
          <w:p>
            <w:pPr>
              <w:pStyle w:val="Compact"/>
            </w:pPr>
            <w:r>
              <w:t xml:space="preserve">0.7%</w:t>
            </w:r>
          </w:p>
        </w:tc>
      </w:tr>
      <w:tr>
        <w:tc>
          <w:tcPr/>
          <w:p>
            <w:pPr>
              <w:pStyle w:val="Compact"/>
            </w:pPr>
          </w:p>
        </w:tc>
        <w:tc>
          <w:tcPr/>
          <w:p>
            <w:pPr>
              <w:pStyle w:val="Compact"/>
            </w:pPr>
            <w:r>
              <w:t xml:space="preserve">Conversion Rate</w:t>
            </w:r>
          </w:p>
        </w:tc>
        <w:tc>
          <w:tcPr/>
          <w:p>
            <w:pPr>
              <w:pStyle w:val="Compact"/>
            </w:pPr>
            <w:r>
              <w:t xml:space="preserve">4.8%</w:t>
            </w:r>
          </w:p>
        </w:tc>
        <w:tc>
          <w:tcPr/>
          <w:p>
            <w:pPr>
              <w:pStyle w:val="Compact"/>
            </w:pPr>
            <w:r>
              <w:t xml:space="preserve">Payment Failures</w:t>
            </w:r>
          </w:p>
        </w:tc>
        <w:tc>
          <w:tcPr/>
          <w:p>
            <w:pPr>
              <w:pStyle w:val="Compact"/>
            </w:pPr>
            <w:r>
              <w:t xml:space="preserve">0.3%</w:t>
            </w:r>
          </w:p>
        </w:tc>
      </w:tr>
      <w:tr>
        <w:tc>
          <w:tcPr/>
          <w:p>
            <w:pPr>
              <w:pStyle w:val="Compact"/>
            </w:pPr>
          </w:p>
        </w:tc>
        <w:tc>
          <w:tcPr/>
          <w:p>
            <w:pPr>
              <w:pStyle w:val="Compact"/>
            </w:pPr>
            <w:r>
              <w:t xml:space="preserve">Average Order Value</w:t>
            </w:r>
          </w:p>
        </w:tc>
        <w:tc>
          <w:tcPr/>
          <w:p>
            <w:pPr>
              <w:pStyle w:val="Compact"/>
            </w:pPr>
            <w:r>
              <w:t xml:space="preserve">58.75</w:t>
            </w:r>
          </w:p>
        </w:tc>
        <w:tc>
          <w:tcPr/>
          <w:p>
            <w:pPr>
              <w:pStyle w:val="Compact"/>
            </w:pPr>
            <w:r>
              <w:t xml:space="preserve">Security Incidents</w:t>
            </w:r>
          </w:p>
        </w:tc>
        <w:tc>
          <w:tcPr/>
          <w:p>
            <w:pPr>
              <w:pStyle w:val="Compact"/>
            </w:pPr>
            <w:r>
              <w:t xml:space="preserve">0</w:t>
            </w:r>
          </w:p>
        </w:tc>
      </w:tr>
      <w:tr>
        <w:tc>
          <w:tcPr/>
          <w:p>
            <w:pPr>
              <w:pStyle w:val="Compact"/>
            </w:pPr>
          </w:p>
        </w:tc>
        <w:tc>
          <w:tcPr/>
          <w:p>
            <w:pPr>
              <w:pStyle w:val="Compact"/>
            </w:pPr>
            <w:r>
              <w:t xml:space="preserve">Session Duration</w:t>
            </w:r>
          </w:p>
        </w:tc>
        <w:tc>
          <w:tcPr/>
          <w:p>
            <w:pPr>
              <w:pStyle w:val="Compact"/>
            </w:pPr>
            <w:r>
              <w:t xml:space="preserve">5.3 min</w:t>
            </w:r>
          </w:p>
        </w:tc>
        <w:tc>
          <w:tcPr/>
          <w:p>
            <w:pPr>
              <w:pStyle w:val="Compact"/>
            </w:pPr>
            <w:r>
              <w:t xml:space="preserve">Login Failures</w:t>
            </w:r>
          </w:p>
        </w:tc>
        <w:tc>
          <w:tcPr/>
          <w:p>
            <w:pPr>
              <w:pStyle w:val="Compact"/>
            </w:pPr>
            <w:r>
              <w:t xml:space="preserve">0.9%</w:t>
            </w:r>
          </w:p>
        </w:tc>
      </w:tr>
      <w:tr>
        <w:tc>
          <w:tcPr/>
          <w:p>
            <w:pPr>
              <w:pStyle w:val="Compact"/>
            </w:pPr>
          </w:p>
        </w:tc>
        <w:tc>
          <w:tcPr/>
          <w:p>
            <w:pPr>
              <w:pStyle w:val="Compact"/>
            </w:pPr>
            <w:r>
              <w:t xml:space="preserve">Cart Abandonment Rate</w:t>
            </w:r>
          </w:p>
        </w:tc>
        <w:tc>
          <w:tcPr/>
          <w:p>
            <w:pPr>
              <w:pStyle w:val="Compact"/>
            </w:pPr>
            <w:r>
              <w:t xml:space="preserve">68%</w:t>
            </w:r>
          </w:p>
        </w:tc>
        <w:tc>
          <w:tcPr/>
          <w:p>
            <w:pPr>
              <w:pStyle w:val="Compact"/>
            </w:pPr>
            <w:r>
              <w:t xml:space="preserve">Fraudulent Transactions</w:t>
            </w:r>
          </w:p>
        </w:tc>
        <w:tc>
          <w:tcPr/>
          <w:p>
            <w:pPr>
              <w:pStyle w:val="Compact"/>
            </w:pPr>
            <w:r>
              <w:t xml:space="preserve">0</w:t>
            </w:r>
          </w:p>
        </w:tc>
      </w:tr>
      <w:tr>
        <w:tc>
          <w:tcPr/>
          <w:p>
            <w:pPr>
              <w:pStyle w:val="Compact"/>
            </w:pPr>
            <w:r>
              <w:t xml:space="preserve">HR Analytics Suite</w:t>
            </w:r>
          </w:p>
        </w:tc>
        <w:tc>
          <w:tcPr/>
          <w:p>
            <w:pPr>
              <w:pStyle w:val="Compact"/>
            </w:pPr>
            <w:r>
              <w:t xml:space="preserve">Employee Turnover Rate</w:t>
            </w:r>
          </w:p>
        </w:tc>
        <w:tc>
          <w:tcPr/>
          <w:p>
            <w:pPr>
              <w:pStyle w:val="Compact"/>
            </w:pPr>
            <w:r>
              <w:t xml:space="preserve">12.3%</w:t>
            </w:r>
          </w:p>
        </w:tc>
        <w:tc>
          <w:tcPr/>
          <w:p>
            <w:pPr>
              <w:pStyle w:val="Compact"/>
            </w:pPr>
            <w:r>
              <w:t xml:space="preserve">Compliance Violations</w:t>
            </w:r>
          </w:p>
        </w:tc>
        <w:tc>
          <w:tcPr/>
          <w:p>
            <w:pPr>
              <w:pStyle w:val="Compact"/>
            </w:pPr>
            <w:r>
              <w:t xml:space="preserve">1</w:t>
            </w:r>
          </w:p>
        </w:tc>
      </w:tr>
      <w:tr>
        <w:tc>
          <w:tcPr/>
          <w:p>
            <w:pPr>
              <w:pStyle w:val="Compact"/>
            </w:pPr>
          </w:p>
        </w:tc>
        <w:tc>
          <w:tcPr/>
          <w:p>
            <w:pPr>
              <w:pStyle w:val="Compact"/>
            </w:pPr>
            <w:r>
              <w:t xml:space="preserve">Absenteeism Rate</w:t>
            </w:r>
          </w:p>
        </w:tc>
        <w:tc>
          <w:tcPr/>
          <w:p>
            <w:pPr>
              <w:pStyle w:val="Compact"/>
            </w:pPr>
            <w:r>
              <w:t xml:space="preserve">3.2%</w:t>
            </w:r>
          </w:p>
        </w:tc>
        <w:tc>
          <w:tcPr/>
          <w:p>
            <w:pPr>
              <w:pStyle w:val="Compact"/>
            </w:pPr>
            <w:r>
              <w:t xml:space="preserve">Payroll Errors</w:t>
            </w:r>
          </w:p>
        </w:tc>
        <w:tc>
          <w:tcPr/>
          <w:p>
            <w:pPr>
              <w:pStyle w:val="Compact"/>
            </w:pPr>
            <w:r>
              <w:t xml:space="preserve">0</w:t>
            </w:r>
          </w:p>
        </w:tc>
      </w:tr>
      <w:tr>
        <w:tc>
          <w:tcPr/>
          <w:p>
            <w:pPr>
              <w:pStyle w:val="Compact"/>
            </w:pPr>
          </w:p>
        </w:tc>
        <w:tc>
          <w:tcPr/>
          <w:p>
            <w:pPr>
              <w:pStyle w:val="Compact"/>
            </w:pPr>
            <w:r>
              <w:t xml:space="preserve">Time to Hire</w:t>
            </w:r>
          </w:p>
        </w:tc>
        <w:tc>
          <w:tcPr/>
          <w:p>
            <w:pPr>
              <w:pStyle w:val="Compact"/>
            </w:pPr>
            <w:r>
              <w:t xml:space="preserve">28 days</w:t>
            </w:r>
          </w:p>
        </w:tc>
        <w:tc>
          <w:tcPr/>
          <w:p>
            <w:pPr>
              <w:pStyle w:val="Compact"/>
            </w:pPr>
            <w:r>
              <w:t xml:space="preserve">Background Check Failures</w:t>
            </w:r>
          </w:p>
        </w:tc>
        <w:tc>
          <w:tcPr/>
          <w:p>
            <w:pPr>
              <w:pStyle w:val="Compact"/>
            </w:pPr>
            <w:r>
              <w:t xml:space="preserve">1</w:t>
            </w:r>
          </w:p>
        </w:tc>
      </w:tr>
      <w:tr>
        <w:tc>
          <w:tcPr/>
          <w:p>
            <w:pPr>
              <w:pStyle w:val="Compact"/>
            </w:pPr>
          </w:p>
        </w:tc>
        <w:tc>
          <w:tcPr/>
          <w:p>
            <w:pPr>
              <w:pStyle w:val="Compact"/>
            </w:pPr>
            <w:r>
              <w:t xml:space="preserve">Training Completion Rate</w:t>
            </w:r>
          </w:p>
        </w:tc>
        <w:tc>
          <w:tcPr/>
          <w:p>
            <w:pPr>
              <w:pStyle w:val="Compact"/>
            </w:pPr>
            <w:r>
              <w:t xml:space="preserve">94%</w:t>
            </w:r>
          </w:p>
        </w:tc>
        <w:tc>
          <w:tcPr/>
          <w:p>
            <w:pPr>
              <w:pStyle w:val="Compact"/>
            </w:pPr>
            <w:r>
              <w:t xml:space="preserve">Policy Breaches</w:t>
            </w:r>
          </w:p>
        </w:tc>
        <w:tc>
          <w:tcPr/>
          <w:p>
            <w:pPr>
              <w:pStyle w:val="Compact"/>
            </w:pPr>
            <w:r>
              <w:t xml:space="preserve">0</w:t>
            </w:r>
          </w:p>
        </w:tc>
      </w:tr>
      <w:tr>
        <w:tc>
          <w:tcPr/>
          <w:p>
            <w:pPr>
              <w:pStyle w:val="Compact"/>
            </w:pPr>
          </w:p>
        </w:tc>
        <w:tc>
          <w:tcPr/>
          <w:p>
            <w:pPr>
              <w:pStyle w:val="Compact"/>
            </w:pPr>
            <w:r>
              <w:t xml:space="preserve">Employee Engagement Score</w:t>
            </w:r>
          </w:p>
        </w:tc>
        <w:tc>
          <w:tcPr/>
          <w:p>
            <w:pPr>
              <w:pStyle w:val="Compact"/>
            </w:pPr>
            <w:r>
              <w:t xml:space="preserve">81%</w:t>
            </w:r>
          </w:p>
        </w:tc>
        <w:tc>
          <w:tcPr/>
          <w:p>
            <w:pPr>
              <w:pStyle w:val="Compact"/>
            </w:pPr>
            <w:r>
              <w:t xml:space="preserve">Grievance Cases</w:t>
            </w:r>
          </w:p>
        </w:tc>
        <w:tc>
          <w:tcPr/>
          <w:p>
            <w:pPr>
              <w:pStyle w:val="Compact"/>
            </w:pPr>
            <w:r>
              <w:t xml:space="preserve">2</w:t>
            </w:r>
          </w:p>
        </w:tc>
      </w:tr>
    </w:tbl>
    <w:p>
      <w:pPr>
        <w:pStyle w:val="BodyText"/>
      </w:pPr>
      <w:r>
        <w:t xml:space="preserve">Xem hình trực quan về các KPIs và KRIs hiện tại theo dự án:</w:t>
      </w:r>
    </w:p>
    <w:tbl>
      <w:tblPr>
        <w:tblStyle w:val="FigureTable"/>
        <w:tblW w:type="auto" w:w="0"/>
        <w:jc w:val="center"/>
        <w:tblLook w:firstRow="0" w:lastRow="0" w:firstColumn="0" w:lastColumn="0"/>
      </w:tblPr>
      <w:tblGrid>
        <w:gridCol w:w="7920"/>
      </w:tblGrid>
      <w:tr>
        <w:tc>
          <w:tcPr/>
          <w:p>
            <w:pPr>
              <w:pStyle w:val="Compact"/>
              <w:jc w:val="center"/>
            </w:pPr>
            <w:r>
              <w:t xml:space="preserve">KPI &amp; KRI Dashboard</w:t>
            </w:r>
          </w:p>
        </w:tc>
      </w:tr>
    </w:tbl>
    <w:p>
      <w:pPr>
        <w:pStyle w:val="ImageCaption"/>
      </w:pPr>
      <w:r>
        <w:t xml:space="preserve">KPI &amp; KRI Dashboard</w:t>
      </w:r>
    </w:p>
    <w:bookmarkEnd w:id="84"/>
    <w:bookmarkStart w:id="86" w:name="Xb387ec164918d0fe6730159f001b9b5a63d5c12"/>
    <w:p>
      <w:pPr>
        <w:pStyle w:val="Heading3"/>
      </w:pPr>
      <w:r>
        <w:t xml:space="preserve">3. Ma trận rủi ro tổng thể (Risk, Risk Owner, Mitigation/Contingency)</w:t>
      </w:r>
    </w:p>
    <w:p>
      <w:pPr>
        <w:pStyle w:val="FirstParagraph"/>
      </w:pPr>
      <w:r>
        <w:t xml:space="preserve">Một ma trận rủi ro có cấu trúc giúp nhanh chóng nhận diện và lập kế hoạch dự phòng cho cả rủi ro vận hành lẫn chiến lược trên các khu vực giải pháp [11][12][13][14][15][16]:</w:t>
      </w:r>
    </w:p>
    <w:tbl>
      <w:tblPr>
        <w:tblStyle w:val="Table"/>
        <w:tblW w:type="pct" w:w="5000"/>
        <w:tblLayout w:type="fixed"/>
        <w:tblLook w:firstRow="1" w:lastRow="0" w:firstColumn="0" w:lastColumn="0" w:noHBand="0" w:noVBand="0" w:val="0020"/>
      </w:tblPr>
      <w:tblGrid>
        <w:gridCol w:w="1039"/>
        <w:gridCol w:w="792"/>
        <w:gridCol w:w="2326"/>
        <w:gridCol w:w="1089"/>
        <w:gridCol w:w="2673"/>
      </w:tblGrid>
      <w:tr>
        <w:trPr>
          <w:tblHeader w:val="on"/>
        </w:trPr>
        <w:tc>
          <w:tcPr/>
          <w:p>
            <w:pPr>
              <w:pStyle w:val="Compact"/>
            </w:pPr>
            <w:r>
              <w:t xml:space="preserve">Tên Dự án</w:t>
            </w:r>
          </w:p>
        </w:tc>
        <w:tc>
          <w:tcPr/>
          <w:p>
            <w:pPr>
              <w:pStyle w:val="Compact"/>
            </w:pPr>
            <w:r>
              <w:t xml:space="preserve">Loại rủi ro</w:t>
            </w:r>
          </w:p>
        </w:tc>
        <w:tc>
          <w:tcPr/>
          <w:p>
            <w:pPr>
              <w:pStyle w:val="Compact"/>
            </w:pPr>
            <w:r>
              <w:t xml:space="preserve">Mô tả</w:t>
            </w:r>
          </w:p>
        </w:tc>
        <w:tc>
          <w:tcPr/>
          <w:p>
            <w:pPr>
              <w:pStyle w:val="Compact"/>
            </w:pPr>
            <w:r>
              <w:t xml:space="preserve">Chủ sở hữu</w:t>
            </w:r>
          </w:p>
        </w:tc>
        <w:tc>
          <w:tcPr/>
          <w:p>
            <w:pPr>
              <w:pStyle w:val="Compact"/>
            </w:pPr>
            <w:r>
              <w:t xml:space="preserve">Kế hoạch giảm thiểu/dự phòng</w:t>
            </w:r>
          </w:p>
        </w:tc>
      </w:tr>
      <w:tr>
        <w:tc>
          <w:tcPr/>
          <w:p>
            <w:pPr>
              <w:pStyle w:val="Compact"/>
            </w:pPr>
            <w:r>
              <w:t xml:space="preserve">Apollo Expansion</w:t>
            </w:r>
          </w:p>
        </w:tc>
        <w:tc>
          <w:tcPr/>
          <w:p>
            <w:pPr>
              <w:pStyle w:val="Compact"/>
            </w:pPr>
            <w:r>
              <w:t xml:space="preserve">Financial</w:t>
            </w:r>
          </w:p>
        </w:tc>
        <w:tc>
          <w:tcPr/>
          <w:p>
            <w:pPr>
              <w:pStyle w:val="Compact"/>
            </w:pPr>
            <w:r>
              <w:t xml:space="preserve">Vượt ngân sách/chi phí vật liệu lớn</w:t>
            </w:r>
          </w:p>
        </w:tc>
        <w:tc>
          <w:tcPr/>
          <w:p>
            <w:pPr>
              <w:pStyle w:val="Compact"/>
            </w:pPr>
            <w:r>
              <w:t xml:space="preserve">Project Manager</w:t>
            </w:r>
          </w:p>
        </w:tc>
        <w:tc>
          <w:tcPr/>
          <w:p>
            <w:pPr>
              <w:pStyle w:val="Compact"/>
            </w:pPr>
            <w:r>
              <w:t xml:space="preserve">Giám sát ngân sách chặt chẽ; ký hợp đồng giá cố định</w:t>
            </w:r>
          </w:p>
        </w:tc>
      </w:tr>
      <w:tr>
        <w:tc>
          <w:tcPr/>
          <w:p>
            <w:pPr>
              <w:pStyle w:val="Compact"/>
            </w:pPr>
          </w:p>
        </w:tc>
        <w:tc>
          <w:tcPr/>
          <w:p>
            <w:pPr>
              <w:pStyle w:val="Compact"/>
            </w:pPr>
            <w:r>
              <w:t xml:space="preserve">Technical</w:t>
            </w:r>
          </w:p>
        </w:tc>
        <w:tc>
          <w:tcPr/>
          <w:p>
            <w:pPr>
              <w:pStyle w:val="Compact"/>
            </w:pPr>
            <w:r>
              <w:t xml:space="preserve">Vấn đề tích hợp hệ thống cũ</w:t>
            </w:r>
          </w:p>
        </w:tc>
        <w:tc>
          <w:tcPr/>
          <w:p>
            <w:pPr>
              <w:pStyle w:val="Compact"/>
            </w:pPr>
            <w:r>
              <w:t xml:space="preserve">Tech Lead</w:t>
            </w:r>
          </w:p>
        </w:tc>
        <w:tc>
          <w:tcPr/>
          <w:p>
            <w:pPr>
              <w:pStyle w:val="Compact"/>
            </w:pPr>
            <w:r>
              <w:t xml:space="preserve">Đội tích hợp riêng; kiểm thử sớm</w:t>
            </w:r>
          </w:p>
        </w:tc>
      </w:tr>
      <w:tr>
        <w:tc>
          <w:tcPr/>
          <w:p>
            <w:pPr>
              <w:pStyle w:val="Compact"/>
            </w:pPr>
            <w:r>
              <w:t xml:space="preserve">Orion Upgrade</w:t>
            </w:r>
          </w:p>
        </w:tc>
        <w:tc>
          <w:tcPr/>
          <w:p>
            <w:pPr>
              <w:pStyle w:val="Compact"/>
            </w:pPr>
            <w:r>
              <w:t xml:space="preserve">Operational</w:t>
            </w:r>
          </w:p>
        </w:tc>
        <w:tc>
          <w:tcPr/>
          <w:p>
            <w:pPr>
              <w:pStyle w:val="Compact"/>
            </w:pPr>
            <w:r>
              <w:t xml:space="preserve">Nhà cung cấp giao hàng chậm</w:t>
            </w:r>
          </w:p>
        </w:tc>
        <w:tc>
          <w:tcPr/>
          <w:p>
            <w:pPr>
              <w:pStyle w:val="Compact"/>
            </w:pPr>
            <w:r>
              <w:t xml:space="preserve">Operations Manager</w:t>
            </w:r>
          </w:p>
        </w:tc>
        <w:tc>
          <w:tcPr/>
          <w:p>
            <w:pPr>
              <w:pStyle w:val="Compact"/>
            </w:pPr>
            <w:r>
              <w:t xml:space="preserve">Có nhà cung cấp dự phòng; theo sát tiến độ giao hàng</w:t>
            </w:r>
          </w:p>
        </w:tc>
      </w:tr>
      <w:tr>
        <w:tc>
          <w:tcPr/>
          <w:p>
            <w:pPr>
              <w:pStyle w:val="Compact"/>
            </w:pPr>
          </w:p>
        </w:tc>
        <w:tc>
          <w:tcPr/>
          <w:p>
            <w:pPr>
              <w:pStyle w:val="Compact"/>
            </w:pPr>
            <w:r>
              <w:t xml:space="preserve">Compliance</w:t>
            </w:r>
          </w:p>
        </w:tc>
        <w:tc>
          <w:tcPr/>
          <w:p>
            <w:pPr>
              <w:pStyle w:val="Compact"/>
            </w:pPr>
            <w:r>
              <w:t xml:space="preserve">Không tuân thủ quy định bảo mật dữ liệu</w:t>
            </w:r>
          </w:p>
        </w:tc>
        <w:tc>
          <w:tcPr/>
          <w:p>
            <w:pPr>
              <w:pStyle w:val="Compact"/>
            </w:pPr>
            <w:r>
              <w:t xml:space="preserve">Compliance Lead</w:t>
            </w:r>
          </w:p>
        </w:tc>
        <w:tc>
          <w:tcPr/>
          <w:p>
            <w:pPr>
              <w:pStyle w:val="Compact"/>
            </w:pPr>
            <w:r>
              <w:t xml:space="preserve">Kiểm toán định kỳ; đào tạo nhân sự thường xuyên</w:t>
            </w:r>
          </w:p>
        </w:tc>
      </w:tr>
      <w:tr>
        <w:tc>
          <w:tcPr/>
          <w:p>
            <w:pPr>
              <w:pStyle w:val="Compact"/>
            </w:pPr>
            <w:r>
              <w:t xml:space="preserve">Gemini Launch</w:t>
            </w:r>
          </w:p>
        </w:tc>
        <w:tc>
          <w:tcPr/>
          <w:p>
            <w:pPr>
              <w:pStyle w:val="Compact"/>
            </w:pPr>
            <w:r>
              <w:t xml:space="preserve">Resource</w:t>
            </w:r>
          </w:p>
        </w:tc>
        <w:tc>
          <w:tcPr/>
          <w:p>
            <w:pPr>
              <w:pStyle w:val="Compact"/>
            </w:pPr>
            <w:r>
              <w:t xml:space="preserve">Thiếu developer vào đỉnh điểm</w:t>
            </w:r>
          </w:p>
        </w:tc>
        <w:tc>
          <w:tcPr/>
          <w:p>
            <w:pPr>
              <w:pStyle w:val="Compact"/>
            </w:pPr>
            <w:r>
              <w:t xml:space="preserve">Project Lead</w:t>
            </w:r>
          </w:p>
        </w:tc>
        <w:tc>
          <w:tcPr/>
          <w:p>
            <w:pPr>
              <w:pStyle w:val="Compact"/>
            </w:pPr>
            <w:r>
              <w:t xml:space="preserve">Tuyển dụng sớm; đào tạo chéo</w:t>
            </w:r>
          </w:p>
        </w:tc>
      </w:tr>
      <w:tr>
        <w:tc>
          <w:tcPr/>
          <w:p>
            <w:pPr>
              <w:pStyle w:val="Compact"/>
            </w:pPr>
          </w:p>
        </w:tc>
        <w:tc>
          <w:tcPr/>
          <w:p>
            <w:pPr>
              <w:pStyle w:val="Compact"/>
            </w:pPr>
            <w:r>
              <w:t xml:space="preserve">Reputational</w:t>
            </w:r>
          </w:p>
        </w:tc>
        <w:tc>
          <w:tcPr/>
          <w:p>
            <w:pPr>
              <w:pStyle w:val="Compact"/>
            </w:pPr>
            <w:r>
              <w:t xml:space="preserve">Báo chí tiêu cực do dự án chậm tiến độ</w:t>
            </w:r>
          </w:p>
        </w:tc>
        <w:tc>
          <w:tcPr/>
          <w:p>
            <w:pPr>
              <w:pStyle w:val="Compact"/>
            </w:pPr>
            <w:r>
              <w:t xml:space="preserve">Project Lead</w:t>
            </w:r>
          </w:p>
        </w:tc>
        <w:tc>
          <w:tcPr/>
          <w:p>
            <w:pPr>
              <w:pStyle w:val="Compact"/>
            </w:pPr>
            <w:r>
              <w:t xml:space="preserve">Kế hoạch truyền thông chủ động; cập nhật định kỳ</w:t>
            </w:r>
          </w:p>
        </w:tc>
      </w:tr>
      <w:tr>
        <w:tc>
          <w:tcPr/>
          <w:p>
            <w:pPr>
              <w:pStyle w:val="Compact"/>
            </w:pPr>
            <w:r>
              <w:t xml:space="preserve">Vega Migration</w:t>
            </w:r>
          </w:p>
        </w:tc>
        <w:tc>
          <w:tcPr/>
          <w:p>
            <w:pPr>
              <w:pStyle w:val="Compact"/>
            </w:pPr>
            <w:r>
              <w:t xml:space="preserve">Security</w:t>
            </w:r>
          </w:p>
        </w:tc>
        <w:tc>
          <w:tcPr/>
          <w:p>
            <w:pPr>
              <w:pStyle w:val="Compact"/>
            </w:pPr>
            <w:r>
              <w:t xml:space="preserve">Truy cập trái phép trong quá trình chuyển đổi</w:t>
            </w:r>
          </w:p>
        </w:tc>
        <w:tc>
          <w:tcPr/>
          <w:p>
            <w:pPr>
              <w:pStyle w:val="Compact"/>
            </w:pPr>
            <w:r>
              <w:t xml:space="preserve">Security Officer</w:t>
            </w:r>
          </w:p>
        </w:tc>
        <w:tc>
          <w:tcPr/>
          <w:p>
            <w:pPr>
              <w:pStyle w:val="Compact"/>
            </w:pPr>
            <w:r>
              <w:t xml:space="preserve">Mã hóa mạnh; kiểm soát quyền truy cập</w:t>
            </w:r>
          </w:p>
        </w:tc>
      </w:tr>
      <w:tr>
        <w:tc>
          <w:tcPr/>
          <w:p>
            <w:pPr>
              <w:pStyle w:val="Compact"/>
            </w:pPr>
          </w:p>
        </w:tc>
        <w:tc>
          <w:tcPr/>
          <w:p>
            <w:pPr>
              <w:pStyle w:val="Compact"/>
            </w:pPr>
            <w:r>
              <w:t xml:space="preserve">Technical</w:t>
            </w:r>
          </w:p>
        </w:tc>
        <w:tc>
          <w:tcPr/>
          <w:p>
            <w:pPr>
              <w:pStyle w:val="Compact"/>
            </w:pPr>
            <w:r>
              <w:t xml:space="preserve">Mất dữ liệu khi chuyển đổi hệ thống</w:t>
            </w:r>
          </w:p>
        </w:tc>
        <w:tc>
          <w:tcPr/>
          <w:p>
            <w:pPr>
              <w:pStyle w:val="Compact"/>
            </w:pPr>
            <w:r>
              <w:t xml:space="preserve">Tech Lead</w:t>
            </w:r>
          </w:p>
        </w:tc>
        <w:tc>
          <w:tcPr/>
          <w:p>
            <w:pPr>
              <w:pStyle w:val="Compact"/>
            </w:pPr>
            <w:r>
              <w:t xml:space="preserve">Sao lưu toàn diện; kiểm tra xác minh</w:t>
            </w:r>
          </w:p>
        </w:tc>
      </w:tr>
      <w:tr>
        <w:tc>
          <w:tcPr/>
          <w:p>
            <w:pPr>
              <w:pStyle w:val="Compact"/>
            </w:pPr>
            <w:r>
              <w:t xml:space="preserve">Atlas Revamp</w:t>
            </w:r>
          </w:p>
        </w:tc>
        <w:tc>
          <w:tcPr/>
          <w:p>
            <w:pPr>
              <w:pStyle w:val="Compact"/>
            </w:pPr>
            <w:r>
              <w:t xml:space="preserve">Strategic</w:t>
            </w:r>
          </w:p>
        </w:tc>
        <w:tc>
          <w:tcPr/>
          <w:p>
            <w:pPr>
              <w:pStyle w:val="Compact"/>
            </w:pPr>
            <w:r>
              <w:t xml:space="preserve">Thay đổi ưu tiên ảnh hưởng đến phạm vi đề án</w:t>
            </w:r>
          </w:p>
        </w:tc>
        <w:tc>
          <w:tcPr/>
          <w:p>
            <w:pPr>
              <w:pStyle w:val="Compact"/>
            </w:pPr>
            <w:r>
              <w:t xml:space="preserve">Business Owner</w:t>
            </w:r>
          </w:p>
        </w:tc>
        <w:tc>
          <w:tcPr/>
          <w:p>
            <w:pPr>
              <w:pStyle w:val="Compact"/>
            </w:pPr>
            <w:r>
              <w:t xml:space="preserve">Xem xét với stakeholders thường xuyên; điều chỉnh phạm vi</w:t>
            </w:r>
          </w:p>
        </w:tc>
      </w:tr>
      <w:tr>
        <w:tc>
          <w:tcPr/>
          <w:p>
            <w:pPr>
              <w:pStyle w:val="Compact"/>
            </w:pPr>
          </w:p>
        </w:tc>
        <w:tc>
          <w:tcPr/>
          <w:p>
            <w:pPr>
              <w:pStyle w:val="Compact"/>
            </w:pPr>
            <w:r>
              <w:t xml:space="preserve">Financial</w:t>
            </w:r>
          </w:p>
        </w:tc>
        <w:tc>
          <w:tcPr/>
          <w:p>
            <w:pPr>
              <w:pStyle w:val="Compact"/>
            </w:pPr>
            <w:r>
              <w:t xml:space="preserve">Phí bản quyền tăng đột biến</w:t>
            </w:r>
          </w:p>
        </w:tc>
        <w:tc>
          <w:tcPr/>
          <w:p>
            <w:pPr>
              <w:pStyle w:val="Compact"/>
            </w:pPr>
            <w:r>
              <w:t xml:space="preserve">Procurement Lead</w:t>
            </w:r>
          </w:p>
        </w:tc>
        <w:tc>
          <w:tcPr/>
          <w:p>
            <w:pPr>
              <w:pStyle w:val="Compact"/>
            </w:pPr>
            <w:r>
              <w:t xml:space="preserve">Hợp đồng dài hạn; theo dõi đối tác cung cấp</w:t>
            </w:r>
          </w:p>
        </w:tc>
      </w:tr>
      <w:tr>
        <w:tc>
          <w:tcPr/>
          <w:p>
            <w:pPr>
              <w:pStyle w:val="Compact"/>
            </w:pPr>
            <w:r>
              <w:t xml:space="preserve">Nova Integration</w:t>
            </w:r>
          </w:p>
        </w:tc>
        <w:tc>
          <w:tcPr/>
          <w:p>
            <w:pPr>
              <w:pStyle w:val="Compact"/>
            </w:pPr>
            <w:r>
              <w:t xml:space="preserve">Operational</w:t>
            </w:r>
          </w:p>
        </w:tc>
        <w:tc>
          <w:tcPr/>
          <w:p>
            <w:pPr>
              <w:pStyle w:val="Compact"/>
            </w:pPr>
            <w:r>
              <w:t xml:space="preserve">Tỷ lệ nhân sự rời đi cao</w:t>
            </w:r>
          </w:p>
        </w:tc>
        <w:tc>
          <w:tcPr/>
          <w:p>
            <w:pPr>
              <w:pStyle w:val="Compact"/>
            </w:pPr>
            <w:r>
              <w:t xml:space="preserve">HR Director</w:t>
            </w:r>
          </w:p>
        </w:tc>
        <w:tc>
          <w:tcPr/>
          <w:p>
            <w:pPr>
              <w:pStyle w:val="Compact"/>
            </w:pPr>
            <w:r>
              <w:t xml:space="preserve">Chương trình giữ chân; tài liệu hóa kiến thức</w:t>
            </w:r>
          </w:p>
        </w:tc>
      </w:tr>
      <w:tr>
        <w:tc>
          <w:tcPr/>
          <w:p>
            <w:pPr>
              <w:pStyle w:val="Compact"/>
            </w:pPr>
          </w:p>
        </w:tc>
        <w:tc>
          <w:tcPr/>
          <w:p>
            <w:pPr>
              <w:pStyle w:val="Compact"/>
            </w:pPr>
            <w:r>
              <w:t xml:space="preserve">Compliance</w:t>
            </w:r>
          </w:p>
        </w:tc>
        <w:tc>
          <w:tcPr/>
          <w:p>
            <w:pPr>
              <w:pStyle w:val="Compact"/>
            </w:pPr>
            <w:r>
              <w:t xml:space="preserve">Không đạt yêu cầu chứng chỉ</w:t>
            </w:r>
          </w:p>
        </w:tc>
        <w:tc>
          <w:tcPr/>
          <w:p>
            <w:pPr>
              <w:pStyle w:val="Compact"/>
            </w:pPr>
            <w:r>
              <w:t xml:space="preserve">Compliance Officer</w:t>
            </w:r>
          </w:p>
        </w:tc>
        <w:tc>
          <w:tcPr/>
          <w:p>
            <w:pPr>
              <w:pStyle w:val="Compact"/>
            </w:pPr>
            <w:r>
              <w:t xml:space="preserve">Chỉ định lead tuân thủ; theo dõi điểm mốc chứng chỉ</w:t>
            </w:r>
          </w:p>
        </w:tc>
      </w:tr>
    </w:tbl>
    <w:tbl>
      <w:tblPr>
        <w:tblStyle w:val="FigureTable"/>
        <w:tblW w:type="auto" w:w="0"/>
        <w:jc w:val="center"/>
        <w:tblLook w:firstRow="0" w:lastRow="0" w:firstColumn="0" w:lastColumn="0"/>
      </w:tblPr>
      <w:tblGrid>
        <w:gridCol w:w="7920"/>
      </w:tblGrid>
      <w:tr>
        <w:tc>
          <w:tcPr/>
          <w:p>
            <w:pPr>
              <w:pStyle w:val="Compact"/>
              <w:jc w:val="center"/>
            </w:pPr>
            <w:r>
              <w:t xml:space="preserve">Risk Matrix by Project</w:t>
            </w:r>
          </w:p>
        </w:tc>
      </w:tr>
    </w:tbl>
    <w:p>
      <w:pPr>
        <w:pStyle w:val="ImageCaption"/>
      </w:pPr>
      <w:r>
        <w:t xml:space="preserve">Risk Matrix by Project</w:t>
      </w:r>
    </w:p>
    <w:bookmarkStart w:id="85" w:name="X659c80ecb4741485905b5379d3c495f2e8299f2"/>
    <w:p>
      <w:pPr>
        <w:pStyle w:val="Heading4"/>
      </w:pPr>
      <w:r>
        <w:t xml:space="preserve">Tóm tắt Thực tiễn tốt nhất &amp; Sự tuân thủ tiêu chuẩn toàn cầu</w:t>
      </w:r>
    </w:p>
    <w:p>
      <w:pPr>
        <w:pStyle w:val="FirstParagraph"/>
      </w:pPr>
      <w:r>
        <w:t xml:space="preserve">Cách tiếp cận quản trị và quản lý rủi ro của chúng tôi tuân thủ các khung quốc tế nổi tiếng (ví dụ: COSO, ISO 37000, Basel, Lean Six Sigma), nhấn mạnh:</w:t>
      </w:r>
      <w:r>
        <w:t xml:space="preserve"> </w:t>
      </w:r>
      <w:r>
        <w:t xml:space="preserve">- Mỗi quyết định/nhiệm vụ có một điểm đầu mối chịu trách nhiệm duy nhất để đảm bảo rõ ràng tối đa [4][5]</w:t>
      </w:r>
      <w:r>
        <w:t xml:space="preserve"> </w:t>
      </w:r>
      <w:r>
        <w:t xml:space="preserve">- Đánh giá RACI/KPI/rủi ro định kỳ, ứng dụng công nghệ để đảm bảo linh hoạt và minh bạch tối đa [2][6][11]</w:t>
      </w:r>
      <w:r>
        <w:t xml:space="preserve"> </w:t>
      </w:r>
      <w:r>
        <w:t xml:space="preserve">- Các chỉ số cảnh báo sớm (KRIs) có ngưỡng để tự động cảnh báo, leo thang xử lý [7][13][21]</w:t>
      </w:r>
      <w:r>
        <w:t xml:space="preserve"> </w:t>
      </w:r>
      <w:r>
        <w:t xml:space="preserve">- Liên tục rà soát ma trận rủi ro để đáp ứng thực tế vận hành và chiến lược [14][15][16]</w:t>
      </w:r>
      <w:r>
        <w:t xml:space="preserve"> </w:t>
      </w:r>
      <w:r>
        <w:t xml:space="preserve">- Báo cáo trực tiếp tới Ban Điều hành/HĐQT về các rủi ro, KPIs và phân bổ trách nhiệm trọng yếu [20][16]</w:t>
      </w:r>
    </w:p>
    <w:bookmarkEnd w:id="85"/>
    <w:bookmarkEnd w:id="86"/>
    <w:bookmarkStart w:id="99" w:name="nguồn-tham-khảo-1"/>
    <w:p>
      <w:pPr>
        <w:pStyle w:val="Heading3"/>
      </w:pPr>
      <w:r>
        <w:t xml:space="preserve">Nguồn tham khảo</w:t>
      </w:r>
    </w:p>
    <w:p>
      <w:pPr>
        <w:pStyle w:val="Compact"/>
        <w:numPr>
          <w:ilvl w:val="0"/>
          <w:numId w:val="1026"/>
        </w:numPr>
      </w:pPr>
      <w:r>
        <w:t xml:space="preserve">Internal Database Query: Solution area list with accountable lead roles (SQL query:</w:t>
      </w:r>
      <w:r>
        <w:t xml:space="preserve"> </w:t>
      </w:r>
      <w:r>
        <w:t xml:space="preserve">“Provide a current list of our solution areas (by category or project/initiative name), and for each, identify the main individual or role assigned as the accountable lead.”</w:t>
      </w:r>
      <w:r>
        <w:t xml:space="preserve">)</w:t>
      </w:r>
    </w:p>
    <w:p>
      <w:pPr>
        <w:pStyle w:val="Compact"/>
        <w:numPr>
          <w:ilvl w:val="0"/>
          <w:numId w:val="1026"/>
        </w:numPr>
      </w:pPr>
      <w:r>
        <w:t xml:space="preserve">Internal Database Query: RACI matrix by project/solution area (SQL query:</w:t>
      </w:r>
      <w:r>
        <w:t xml:space="preserve"> </w:t>
      </w:r>
      <w:r>
        <w:t xml:space="preserve">“Provide the associated RACI matrix (Responsible, Accountable, Consulted, Informed roles) with the named roles by latest project records.”</w:t>
      </w:r>
      <w:r>
        <w:t xml:space="preserve">)</w:t>
      </w:r>
    </w:p>
    <w:p>
      <w:pPr>
        <w:pStyle w:val="Compact"/>
        <w:numPr>
          <w:ilvl w:val="0"/>
          <w:numId w:val="1026"/>
        </w:numPr>
      </w:pPr>
      <w:r>
        <w:t xml:space="preserve">Internal Database Query: Operational and strategic risks with mitigations (SQL query:</w:t>
      </w:r>
      <w:r>
        <w:t xml:space="preserve"> </w:t>
      </w:r>
      <w:r>
        <w:t xml:space="preserve">“List the key risks associated with each solution/project, plus the mitigation actions or contingency plans.”</w:t>
      </w:r>
      <w:r>
        <w:t xml:space="preserve">)</w:t>
      </w:r>
    </w:p>
    <w:p>
      <w:pPr>
        <w:pStyle w:val="Compact"/>
        <w:numPr>
          <w:ilvl w:val="0"/>
          <w:numId w:val="1026"/>
        </w:numPr>
      </w:pPr>
      <w:hyperlink r:id="rId87">
        <w:r>
          <w:rPr>
            <w:rStyle w:val="Hyperlink"/>
          </w:rPr>
          <w:t xml:space="preserve">RACI Matrix - Supply Chain - Meegle</w:t>
        </w:r>
      </w:hyperlink>
    </w:p>
    <w:p>
      <w:pPr>
        <w:pStyle w:val="Compact"/>
        <w:numPr>
          <w:ilvl w:val="0"/>
          <w:numId w:val="1026"/>
        </w:numPr>
      </w:pPr>
      <w:hyperlink r:id="rId88">
        <w:r>
          <w:rPr>
            <w:rStyle w:val="Hyperlink"/>
          </w:rPr>
          <w:t xml:space="preserve">Responsibility Assignment Matrix: [Guide for 2025] - Edstellar</w:t>
        </w:r>
      </w:hyperlink>
    </w:p>
    <w:p>
      <w:pPr>
        <w:pStyle w:val="Compact"/>
        <w:numPr>
          <w:ilvl w:val="0"/>
          <w:numId w:val="1026"/>
        </w:numPr>
      </w:pPr>
      <w:r>
        <w:t xml:space="preserve">Internal Database Query: Project KPIs/KRIs (SQL query:</w:t>
      </w:r>
      <w:r>
        <w:t xml:space="preserve"> </w:t>
      </w:r>
      <w:r>
        <w:t xml:space="preserve">“For each major solution/project, provide monitored KPIs and key risk indicators or early warning metrics.”</w:t>
      </w:r>
      <w:r>
        <w:t xml:space="preserve">)</w:t>
      </w:r>
    </w:p>
    <w:p>
      <w:pPr>
        <w:pStyle w:val="Compact"/>
        <w:numPr>
          <w:ilvl w:val="0"/>
          <w:numId w:val="1026"/>
        </w:numPr>
      </w:pPr>
      <w:hyperlink r:id="rId89">
        <w:r>
          <w:rPr>
            <w:rStyle w:val="Hyperlink"/>
          </w:rPr>
          <w:t xml:space="preserve">8 Last Mile Delivery Performance KPIs to Track in 2024 - Onfleet</w:t>
        </w:r>
      </w:hyperlink>
    </w:p>
    <w:p>
      <w:pPr>
        <w:pStyle w:val="Compact"/>
        <w:numPr>
          <w:ilvl w:val="0"/>
          <w:numId w:val="1026"/>
        </w:numPr>
      </w:pPr>
      <w:hyperlink r:id="rId75">
        <w:r>
          <w:rPr>
            <w:rStyle w:val="Hyperlink"/>
          </w:rPr>
          <w:t xml:space="preserve">20 Best Logistics KPIs and Metric Examples for 2025 Reporting - insightsoftware</w:t>
        </w:r>
      </w:hyperlink>
    </w:p>
    <w:p>
      <w:pPr>
        <w:pStyle w:val="Compact"/>
        <w:numPr>
          <w:ilvl w:val="0"/>
          <w:numId w:val="1026"/>
        </w:numPr>
      </w:pPr>
      <w:hyperlink r:id="rId90">
        <w:r>
          <w:rPr>
            <w:rStyle w:val="Hyperlink"/>
          </w:rPr>
          <w:t xml:space="preserve">Are Your Key Performance Indicators (KPIs) Ready for a Tighter Freight Market? - Inbound Logistics</w:t>
        </w:r>
      </w:hyperlink>
    </w:p>
    <w:p>
      <w:pPr>
        <w:pStyle w:val="Compact"/>
        <w:numPr>
          <w:ilvl w:val="0"/>
          <w:numId w:val="1026"/>
        </w:numPr>
      </w:pPr>
      <w:hyperlink r:id="rId91">
        <w:r>
          <w:rPr>
            <w:rStyle w:val="Hyperlink"/>
          </w:rPr>
          <w:t xml:space="preserve">Transportation Key Performance Indicators: A Shipper’s Guide - HMD Trucking</w:t>
        </w:r>
      </w:hyperlink>
    </w:p>
    <w:p>
      <w:pPr>
        <w:pStyle w:val="Compact"/>
        <w:numPr>
          <w:ilvl w:val="0"/>
          <w:numId w:val="1026"/>
        </w:numPr>
      </w:pPr>
      <w:r>
        <w:t xml:space="preserve">Internal Database Query: Project risks and contingency actions (SQL query:</w:t>
      </w:r>
      <w:r>
        <w:t xml:space="preserve"> </w:t>
      </w:r>
      <w:r>
        <w:t xml:space="preserve">“For each solution area, list main risks and contingency plans.”</w:t>
      </w:r>
      <w:r>
        <w:t xml:space="preserve">)</w:t>
      </w:r>
    </w:p>
    <w:p>
      <w:pPr>
        <w:pStyle w:val="Compact"/>
        <w:numPr>
          <w:ilvl w:val="0"/>
          <w:numId w:val="1026"/>
        </w:numPr>
      </w:pPr>
      <w:hyperlink r:id="rId92">
        <w:r>
          <w:rPr>
            <w:rStyle w:val="Hyperlink"/>
          </w:rPr>
          <w:t xml:space="preserve">Red Sea Risk Matrix: A Model for Managing Supply Chain Disruption - SupplyChainBrain</w:t>
        </w:r>
      </w:hyperlink>
    </w:p>
    <w:p>
      <w:pPr>
        <w:pStyle w:val="Compact"/>
        <w:numPr>
          <w:ilvl w:val="0"/>
          <w:numId w:val="1026"/>
        </w:numPr>
      </w:pPr>
      <w:hyperlink r:id="rId93">
        <w:r>
          <w:rPr>
            <w:rStyle w:val="Hyperlink"/>
          </w:rPr>
          <w:t xml:space="preserve">Operational Risk Management: Strategies and Examples - Pirani</w:t>
        </w:r>
      </w:hyperlink>
    </w:p>
    <w:p>
      <w:pPr>
        <w:pStyle w:val="Compact"/>
        <w:numPr>
          <w:ilvl w:val="0"/>
          <w:numId w:val="1026"/>
        </w:numPr>
      </w:pPr>
      <w:hyperlink r:id="rId94">
        <w:r>
          <w:rPr>
            <w:rStyle w:val="Hyperlink"/>
          </w:rPr>
          <w:t xml:space="preserve">What Is a Risk Matrix? Your Guide for 2025 - Effivity</w:t>
        </w:r>
      </w:hyperlink>
    </w:p>
    <w:p>
      <w:pPr>
        <w:pStyle w:val="Compact"/>
        <w:numPr>
          <w:ilvl w:val="0"/>
          <w:numId w:val="1026"/>
        </w:numPr>
      </w:pPr>
      <w:hyperlink r:id="rId95">
        <w:r>
          <w:rPr>
            <w:rStyle w:val="Hyperlink"/>
          </w:rPr>
          <w:t xml:space="preserve">Risk Management in Logistics and Transport - CHAS</w:t>
        </w:r>
      </w:hyperlink>
    </w:p>
    <w:p>
      <w:pPr>
        <w:pStyle w:val="Compact"/>
        <w:numPr>
          <w:ilvl w:val="0"/>
          <w:numId w:val="1026"/>
        </w:numPr>
      </w:pPr>
      <w:hyperlink r:id="rId96">
        <w:r>
          <w:rPr>
            <w:rStyle w:val="Hyperlink"/>
          </w:rPr>
          <w:t xml:space="preserve">How to Develop a Strong Logistics Governance</w:t>
        </w:r>
      </w:hyperlink>
    </w:p>
    <w:p>
      <w:pPr>
        <w:pStyle w:val="Compact"/>
        <w:numPr>
          <w:ilvl w:val="0"/>
          <w:numId w:val="1026"/>
        </w:numPr>
      </w:pPr>
      <w:hyperlink r:id="rId97">
        <w:r>
          <w:rPr>
            <w:rStyle w:val="Hyperlink"/>
          </w:rPr>
          <w:t xml:space="preserve">Governance Structure: The Secret Weapon Behind Corporate Success - Boardwise</w:t>
        </w:r>
      </w:hyperlink>
    </w:p>
    <w:p>
      <w:pPr>
        <w:pStyle w:val="Compact"/>
        <w:numPr>
          <w:ilvl w:val="0"/>
          <w:numId w:val="1026"/>
        </w:numPr>
      </w:pPr>
      <w:hyperlink r:id="rId98">
        <w:r>
          <w:rPr>
            <w:rStyle w:val="Hyperlink"/>
          </w:rPr>
          <w:t xml:space="preserve">Mastering Key Risk Indicators (KRIs) - Workiva</w:t>
        </w:r>
      </w:hyperlink>
    </w:p>
    <w:bookmarkEnd w:id="99"/>
    <w:bookmarkEnd w:id="100"/>
    <w:bookmarkStart w:id="104" w:name="Xa6d271a73b9e9313ba3a5e50741f1cf69f3b85a"/>
    <w:p>
      <w:pPr>
        <w:pStyle w:val="Heading2"/>
      </w:pPr>
      <w:r>
        <w:t xml:space="preserve">VIII. Kết luận &amp; Khuyến nghị Chiến lược: Kết luận và nhấn mạnh Call-to-action</w:t>
      </w:r>
    </w:p>
    <w:bookmarkStart w:id="101" w:name="a.-tổng-kết-chiến-lược-và-điểm-mấu-chốt"/>
    <w:p>
      <w:pPr>
        <w:pStyle w:val="Heading3"/>
      </w:pPr>
      <w:r>
        <w:t xml:space="preserve">A. Tổng kết chiến lược và điểm mấu chốt</w:t>
      </w:r>
    </w:p>
    <w:p>
      <w:pPr>
        <w:pStyle w:val="FirstParagraph"/>
      </w:pPr>
      <w:r>
        <w:t xml:space="preserve">Kết quả phân tích tổng hợp tại các phần trước cho thấy rằng doanh nghiệp đang đứng trước cơ hội lớn để nâng cao hiệu quả vận hành và sức cạnh tranh thông qua việc triển khai đồng bộ các sáng kiến chuyển đổi số, tối ưu logistics và cải thiện năng lực nhân sự. Các thông tin định lượng và định tính được trình bày đã làm rõ rằng:</w:t>
      </w:r>
    </w:p>
    <w:p>
      <w:pPr>
        <w:pStyle w:val="Compact"/>
        <w:numPr>
          <w:ilvl w:val="0"/>
          <w:numId w:val="1027"/>
        </w:numPr>
      </w:pPr>
      <w:r>
        <w:t xml:space="preserve">Các công ty đầu ngành trong khu vực Đông Nam Á đạt mức tăng</w:t>
      </w:r>
      <w:r>
        <w:t xml:space="preserve"> </w:t>
      </w:r>
      <w:r>
        <w:rPr>
          <w:b/>
          <w:bCs/>
        </w:rPr>
        <w:t xml:space="preserve">năng suất 25% và giảm chi phí vận hành 20%</w:t>
      </w:r>
      <w:r>
        <w:t xml:space="preserve"> </w:t>
      </w:r>
      <w:r>
        <w:t xml:space="preserve">nhờ bám sát các trụ cột đổi mới vận hành, ứng dụng công nghệ và phát triển đội ngũ chuyên môn cao [46].</w:t>
      </w:r>
    </w:p>
    <w:p>
      <w:pPr>
        <w:pStyle w:val="Compact"/>
        <w:numPr>
          <w:ilvl w:val="0"/>
          <w:numId w:val="1027"/>
        </w:numPr>
      </w:pPr>
      <w:r>
        <w:t xml:space="preserve">Việc tích hợp hệ thống quản trị thông minh (ERP, TMS, AI) và phát triển văn hóa cải tiến liên tục giúp gia tăng năng lực cạnh tranh lâu dài và nâng cao chất lượng dịch vụ khách hàng [47][48].</w:t>
      </w:r>
    </w:p>
    <w:p>
      <w:pPr>
        <w:pStyle w:val="Compact"/>
        <w:numPr>
          <w:ilvl w:val="0"/>
          <w:numId w:val="1027"/>
        </w:numPr>
      </w:pPr>
      <w:r>
        <w:t xml:space="preserve">Bối cảnh kinh tế khu vực hiện nay đòi hỏi doanh nghiệp phải chủ động tối ưu cấu trúc vận hành và dòng tiền, đồng thời đẩy mạnh số hóa các quy trình chính, đặc biệt trong logistics, để tận dụng được các dòng đầu tư cũng như bảo vệ biên lợi nhuận trong môi trường cạnh tranh ngày càng khốc liệt [49][50].</w:t>
      </w:r>
    </w:p>
    <w:p>
      <w:pPr>
        <w:pStyle w:val="Compact"/>
        <w:numPr>
          <w:ilvl w:val="0"/>
          <w:numId w:val="1027"/>
        </w:numPr>
      </w:pPr>
      <w:r>
        <w:t xml:space="preserve">Các báo cáo thị trường ghi nhận xu hướng vốn FDI vào logistics, công nghệ, dịch vụ giá trị gia tăng và green logistics đang tăng mạnh, tạo dư địa lớn cho các doanh nghiệp đổi mới nhanh chóng, đi tắt đón đầu [51].</w:t>
      </w:r>
    </w:p>
    <w:p>
      <w:pPr>
        <w:pStyle w:val="FirstParagraph"/>
      </w:pPr>
      <w:r>
        <w:t xml:space="preserve">Như vậy, việc hội đồng quản trị ra quyết định sớm có ý nghĩa quyết định trong việc duy trì đà tăng trưởng, duy trì ưu thế thị phần và tạo sức bật tài chính cho doanh nghiệp trong 2-5 năm tới.</w:t>
      </w:r>
    </w:p>
    <w:p>
      <w:r>
        <w:pict>
          <v:rect style="width:0;height:1.5pt" o:hralign="center" o:hrstd="t" o:hr="t"/>
        </w:pict>
      </w:r>
    </w:p>
    <w:bookmarkEnd w:id="101"/>
    <w:bookmarkStart w:id="103" w:name="b.-call-to-action-cho-hội-đồng-quản-trị"/>
    <w:p>
      <w:pPr>
        <w:pStyle w:val="Heading3"/>
      </w:pPr>
      <w:r>
        <w:t xml:space="preserve">B. Call-to-action cho Hội đồng Quản trị</w:t>
      </w:r>
    </w:p>
    <w:p>
      <w:pPr>
        <w:pStyle w:val="FirstParagraph"/>
      </w:pPr>
      <w:r>
        <w:rPr>
          <w:b/>
          <w:bCs/>
        </w:rPr>
        <w:t xml:space="preserve">Các khuyến nghị mang tính ưu tiên chiến lược và đề nghị phê duyệt hành động:</w:t>
      </w:r>
    </w:p>
    <w:p>
      <w:pPr>
        <w:pStyle w:val="Compact"/>
        <w:numPr>
          <w:ilvl w:val="0"/>
          <w:numId w:val="1028"/>
        </w:numPr>
      </w:pPr>
      <w:r>
        <w:rPr>
          <w:b/>
          <w:bCs/>
        </w:rPr>
        <w:t xml:space="preserve">Phê duyệt ngay lộ trình đầu tư và triển khai hệ thống số hóa vận hành (ERP, TMS, AI, Dashboard) giai đoạn 2025-2026</w:t>
      </w:r>
      <w:r>
        <w:t xml:space="preserve">: Nâng cao khả năng kiểm soát chi phí, độ chính xác dự báo và logistic agility ở quy mô toàn hệ thống, từ đó nâng biên lợi nhuận kỳ vọng lên</w:t>
      </w:r>
      <w:r>
        <w:t xml:space="preserve"> </w:t>
      </w:r>
      <w:r>
        <w:rPr>
          <w:b/>
          <w:bCs/>
        </w:rPr>
        <w:t xml:space="preserve">18-22%</w:t>
      </w:r>
      <w:r>
        <w:t xml:space="preserve"> </w:t>
      </w:r>
      <w:r>
        <w:t xml:space="preserve">so với baseline [46][47].</w:t>
      </w:r>
    </w:p>
    <w:p>
      <w:pPr>
        <w:pStyle w:val="Compact"/>
        <w:numPr>
          <w:ilvl w:val="0"/>
          <w:numId w:val="1028"/>
        </w:numPr>
      </w:pPr>
      <w:r>
        <w:rPr>
          <w:b/>
          <w:bCs/>
        </w:rPr>
        <w:t xml:space="preserve">Tăng cường đầu tư vào phát triển đội ngũ chuyên gia số &amp; phân tích dữ liệu</w:t>
      </w:r>
      <w:r>
        <w:t xml:space="preserve">: Ưu tiên xây dựng đội ngũ nội bộ hạt nhân, đào tạo và thu hút nhân tài phân tích, quản lý vận hành, giúp doanh nghiệp có lợi thế cạnh tranh bền vững [47][48].</w:t>
      </w:r>
    </w:p>
    <w:p>
      <w:pPr>
        <w:pStyle w:val="Compact"/>
        <w:numPr>
          <w:ilvl w:val="0"/>
          <w:numId w:val="1028"/>
        </w:numPr>
      </w:pPr>
      <w:r>
        <w:rPr>
          <w:b/>
          <w:bCs/>
        </w:rPr>
        <w:t xml:space="preserve">Thiết lập chỉ tiêu KPI tài chính – vận hành rõ ràng</w:t>
      </w:r>
      <w:r>
        <w:t xml:space="preserve">: Định lượng rõ các mục tiêu (tăng năng suất, giảm chi phí, rút ngắn leadtime, tăng mức độ hài lòng khách hàng, tăng doanh thu dịch vụ mới…). Súy xét hiệu quả từng quý, công khai với Ban Điều hành và HĐQT. Kiến nghị xây dựng dashboard KPI tích hợp realtime giúp tăng tính minh bạch và kiểm soát rủi ro [46][47][49].</w:t>
      </w:r>
    </w:p>
    <w:p>
      <w:pPr>
        <w:pStyle w:val="Compact"/>
        <w:numPr>
          <w:ilvl w:val="0"/>
          <w:numId w:val="1028"/>
        </w:numPr>
      </w:pPr>
      <w:r>
        <w:rPr>
          <w:b/>
          <w:bCs/>
        </w:rPr>
        <w:t xml:space="preserve">Đẩy mạnh hợp tác chiến lược với các đối tác công nghệ và dịch vụ logistics đầu ngành</w:t>
      </w:r>
      <w:r>
        <w:t xml:space="preserve">: Chủ động triển khai dự án hợp tác quy mô lớn về vận tải thông minh, xanh hóa chuỗi cung ứng, hướng tới chuẩn quốc tế (ESG, ISO, Smart Logistics), sẵn sàng kết nối hệ thống thương mại điện tử/omnichannel [50][51].</w:t>
      </w:r>
    </w:p>
    <w:p>
      <w:pPr>
        <w:pStyle w:val="Compact"/>
        <w:numPr>
          <w:ilvl w:val="0"/>
          <w:numId w:val="1028"/>
        </w:numPr>
      </w:pPr>
      <w:r>
        <w:rPr>
          <w:b/>
          <w:bCs/>
        </w:rPr>
        <w:t xml:space="preserve">Ưu tiên nguồn lực cho đổi mới sáng tạo và dự phòng ngân sách cho các sáng kiến thí điểm</w:t>
      </w:r>
      <w:r>
        <w:t xml:space="preserve">: Cân nhắc tạo</w:t>
      </w:r>
      <w:r>
        <w:t xml:space="preserve"> </w:t>
      </w:r>
      <w:r>
        <w:t xml:space="preserve">“quỹ đổi mới”</w:t>
      </w:r>
      <w:r>
        <w:t xml:space="preserve"> </w:t>
      </w:r>
      <w:r>
        <w:t xml:space="preserve">để tăng tốc các dự án thử nghiệm chuyển đổi số, tối ưu vận hành và nâng cao trải nghiệm khách hàng.</w:t>
      </w:r>
    </w:p>
    <w:p>
      <w:pPr>
        <w:pStyle w:val="FirstParagraph"/>
      </w:pPr>
      <w:r>
        <w:rPr>
          <w:b/>
          <w:bCs/>
        </w:rPr>
        <w:t xml:space="preserve">Tác động tài chính trực tiếp của các quyết định phê duyệt này:</w:t>
      </w:r>
      <w:r>
        <w:t xml:space="preserve"> </w:t>
      </w:r>
      <w:r>
        <w:t xml:space="preserve">- Kỳ vọng tiết kiệm tối thiểu 20% chi phí logistics vận hành năm đầu tiên khi triển khai trọn vẹn các sáng kiến công nghệ, với mức hoàn vốn dự kiến trong 18-24 tháng [46][48][49].</w:t>
      </w:r>
      <w:r>
        <w:t xml:space="preserve"> </w:t>
      </w:r>
      <w:r>
        <w:t xml:space="preserve">- Tạo lợi thế cạnh tranh mạnh mẽ nhờ giảm phụ thuộc lao động ngắn hạn, tăng năng suất lao động cốt lõi và giữ chân tài năng lâu dài [48][49].</w:t>
      </w:r>
      <w:r>
        <w:t xml:space="preserve"> </w:t>
      </w:r>
      <w:r>
        <w:t xml:space="preserve">- Đảm bảo chiến lược tăng trưởng bền vững, đón đầu xu thế hội nhập và chủ động trước biến động thị trường nhờ nền tảng vận hành số linh hoạt, minh bạch và dễ kiểm soát [47][50][51].</w:t>
      </w:r>
    </w:p>
    <w:bookmarkStart w:id="102" w:name="X54ea28aac016a4df4644201bb8f09cbc969e6d1"/>
    <w:p>
      <w:pPr>
        <w:pStyle w:val="Heading4"/>
      </w:pPr>
      <w:r>
        <w:t xml:space="preserve">Đề nghị HĐQT phê duyệt và phân bổ ngân sách ưu tiên trong quý III/2025 để đảm bảo lộ trình triển khai các sáng kiến chiến lược không bị gián đoạn, bảo vệ thành quả tăng trưởng, an toàn tài chính và vị thế thương hiệu doanh nghiệp trên thị trường.</w:t>
      </w:r>
    </w:p>
    <w:p>
      <w:r>
        <w:pict>
          <v:rect style="width:0;height:1.5pt" o:hralign="center" o:hrstd="t" o:hr="t"/>
        </w:pict>
      </w:r>
    </w:p>
    <w:p>
      <w:pPr>
        <w:pStyle w:val="FirstParagraph"/>
      </w:pPr>
      <w:r>
        <w:rPr>
          <w:b/>
          <w:bCs/>
        </w:rPr>
        <w:t xml:space="preserve">SQL Result as Table:</w:t>
      </w:r>
    </w:p>
    <w:tbl>
      <w:tblPr>
        <w:tblStyle w:val="Table"/>
        <w:tblW w:type="pct" w:w="5000"/>
        <w:tblLayout w:type="fixed"/>
        <w:tblLook w:firstRow="1" w:lastRow="0" w:firstColumn="0" w:lastColumn="0" w:noHBand="0" w:noVBand="0" w:val="0020"/>
      </w:tblPr>
      <w:tblGrid>
        <w:gridCol w:w="751"/>
        <w:gridCol w:w="1980"/>
        <w:gridCol w:w="1843"/>
        <w:gridCol w:w="1843"/>
        <w:gridCol w:w="1502"/>
      </w:tblGrid>
      <w:tr>
        <w:trPr>
          <w:tblHeader w:val="on"/>
        </w:trPr>
        <w:tc>
          <w:tcPr/>
          <w:p>
            <w:pPr>
              <w:pStyle w:val="Compact"/>
            </w:pPr>
            <w:r>
              <w:t xml:space="preserve">Sáng kiến</w:t>
            </w:r>
          </w:p>
        </w:tc>
        <w:tc>
          <w:tcPr/>
          <w:p>
            <w:pPr>
              <w:pStyle w:val="Compact"/>
            </w:pPr>
            <w:r>
              <w:t xml:space="preserve">Chỉ tiêu tăng trưởng dự kiến</w:t>
            </w:r>
          </w:p>
        </w:tc>
        <w:tc>
          <w:tcPr/>
          <w:p>
            <w:pPr>
              <w:pStyle w:val="Compact"/>
            </w:pPr>
            <w:r>
              <w:t xml:space="preserve">Tiết kiệm chi phí (% YoY)</w:t>
            </w:r>
          </w:p>
        </w:tc>
        <w:tc>
          <w:tcPr/>
          <w:p>
            <w:pPr>
              <w:pStyle w:val="Compact"/>
            </w:pPr>
            <w:r>
              <w:t xml:space="preserve">Lợi nhuận dự kiến tăng thêm</w:t>
            </w:r>
          </w:p>
        </w:tc>
        <w:tc>
          <w:tcPr/>
          <w:p>
            <w:pPr>
              <w:pStyle w:val="Compact"/>
            </w:pPr>
            <w:r>
              <w:t xml:space="preserve">Thời gian hoàn vốn</w:t>
            </w:r>
          </w:p>
        </w:tc>
      </w:tr>
      <w:tr>
        <w:tc>
          <w:tcPr/>
          <w:p>
            <w:pPr>
              <w:pStyle w:val="Compact"/>
            </w:pPr>
            <w:r>
              <w:t xml:space="preserve">Số hóa vận hành (ERP, TMS, AI)</w:t>
            </w:r>
          </w:p>
        </w:tc>
        <w:tc>
          <w:tcPr/>
          <w:p>
            <w:pPr>
              <w:pStyle w:val="Compact"/>
            </w:pPr>
            <w:r>
              <w:t xml:space="preserve">Năng suất +25%</w:t>
            </w:r>
          </w:p>
        </w:tc>
        <w:tc>
          <w:tcPr/>
          <w:p>
            <w:pPr>
              <w:pStyle w:val="Compact"/>
            </w:pPr>
            <w:r>
              <w:t xml:space="preserve">20%</w:t>
            </w:r>
          </w:p>
        </w:tc>
        <w:tc>
          <w:tcPr/>
          <w:p>
            <w:pPr>
              <w:pStyle w:val="Compact"/>
            </w:pPr>
            <w:r>
              <w:t xml:space="preserve">+18-22%</w:t>
            </w:r>
          </w:p>
        </w:tc>
        <w:tc>
          <w:tcPr/>
          <w:p>
            <w:pPr>
              <w:pStyle w:val="Compact"/>
            </w:pPr>
            <w:r>
              <w:t xml:space="preserve">18-24 tháng</w:t>
            </w:r>
          </w:p>
        </w:tc>
      </w:tr>
      <w:tr>
        <w:tc>
          <w:tcPr/>
          <w:p>
            <w:pPr>
              <w:pStyle w:val="Compact"/>
            </w:pPr>
            <w:r>
              <w:t xml:space="preserve">Đào tạo đội ngũ chuyên gia số</w:t>
            </w:r>
          </w:p>
        </w:tc>
        <w:tc>
          <w:tcPr/>
          <w:p>
            <w:pPr>
              <w:pStyle w:val="Compact"/>
            </w:pPr>
            <w:r>
              <w:t xml:space="preserve">Năng suất +10%</w:t>
            </w:r>
          </w:p>
        </w:tc>
        <w:tc>
          <w:tcPr/>
          <w:p>
            <w:pPr>
              <w:pStyle w:val="Compact"/>
            </w:pPr>
            <w:r>
              <w:t xml:space="preserve">8%</w:t>
            </w:r>
          </w:p>
        </w:tc>
        <w:tc>
          <w:tcPr/>
          <w:p>
            <w:pPr>
              <w:pStyle w:val="Compact"/>
            </w:pPr>
            <w:r>
              <w:t xml:space="preserve">+5%</w:t>
            </w:r>
          </w:p>
        </w:tc>
        <w:tc>
          <w:tcPr/>
          <w:p>
            <w:pPr>
              <w:pStyle w:val="Compact"/>
            </w:pPr>
            <w:r>
              <w:t xml:space="preserve">12 tháng</w:t>
            </w:r>
          </w:p>
        </w:tc>
      </w:tr>
      <w:tr>
        <w:tc>
          <w:tcPr/>
          <w:p>
            <w:pPr>
              <w:pStyle w:val="Compact"/>
            </w:pPr>
            <w:r>
              <w:t xml:space="preserve">Đối tác chiến lược logistics</w:t>
            </w:r>
          </w:p>
        </w:tc>
        <w:tc>
          <w:tcPr/>
          <w:p>
            <w:pPr>
              <w:pStyle w:val="Compact"/>
            </w:pPr>
            <w:r>
              <w:t xml:space="preserve">Tăng doanh thu 15%</w:t>
            </w:r>
          </w:p>
        </w:tc>
        <w:tc>
          <w:tcPr/>
          <w:p>
            <w:pPr>
              <w:pStyle w:val="Compact"/>
            </w:pPr>
            <w:r>
              <w:t xml:space="preserve">5%</w:t>
            </w:r>
          </w:p>
        </w:tc>
        <w:tc>
          <w:tcPr/>
          <w:p>
            <w:pPr>
              <w:pStyle w:val="Compact"/>
            </w:pPr>
            <w:r>
              <w:t xml:space="preserve">+10%</w:t>
            </w:r>
          </w:p>
        </w:tc>
        <w:tc>
          <w:tcPr/>
          <w:p>
            <w:pPr>
              <w:pStyle w:val="Compact"/>
            </w:pPr>
            <w:r>
              <w:t xml:space="preserve">12-18 tháng</w:t>
            </w:r>
          </w:p>
        </w:tc>
      </w:tr>
    </w:tbl>
    <w:tbl>
      <w:tblPr>
        <w:tblStyle w:val="FigureTable"/>
        <w:tblW w:type="auto" w:w="0"/>
        <w:jc w:val="center"/>
        <w:tblLook w:firstRow="0" w:lastRow="0" w:firstColumn="0" w:lastColumn="0"/>
      </w:tblPr>
      <w:tblGrid>
        <w:gridCol w:w="7920"/>
      </w:tblGrid>
      <w:tr>
        <w:tc>
          <w:tcPr/>
          <w:p>
            <w:pPr>
              <w:pStyle w:val="Compact"/>
              <w:jc w:val="center"/>
            </w:pPr>
            <w:r>
              <w:t xml:space="preserve">Tác động tài chính dự kiến các sáng kiến</w:t>
            </w:r>
          </w:p>
        </w:tc>
      </w:tr>
    </w:tbl>
    <w:p>
      <w:pPr>
        <w:pStyle w:val="ImageCaption"/>
      </w:pPr>
      <w:r>
        <w:t xml:space="preserve">Tác động tài chính dự kiến các sáng kiến</w:t>
      </w:r>
    </w:p>
    <w:bookmarkEnd w:id="102"/>
    <w:bookmarkEnd w:id="103"/>
    <w:bookmarkEnd w:id="104"/>
    <w:bookmarkStart w:id="131" w:name="references"/>
    <w:p>
      <w:pPr>
        <w:pStyle w:val="Heading2"/>
      </w:pPr>
      <w:r>
        <w:t xml:space="preserve">References</w:t>
      </w:r>
    </w:p>
    <w:p>
      <w:pPr>
        <w:pStyle w:val="Compact"/>
        <w:numPr>
          <w:ilvl w:val="0"/>
          <w:numId w:val="1029"/>
        </w:numPr>
      </w:pPr>
      <w:r>
        <w:t xml:space="preserve">Internal Database Query via SQL Agent:</w:t>
      </w:r>
      <w:r>
        <w:t xml:space="preserve"> </w:t>
      </w:r>
      <w:r>
        <w:t xml:space="preserve">“What was the total revenue generated by GHN’s delivery staff (NV Phát Triển Thị Trường) in the past 3 quarters, and what was the current average productivity (orders/shipper/month) during this period?”</w:t>
      </w:r>
      <w:r>
        <w:t xml:space="preserve"> </w:t>
      </w:r>
      <w:r>
        <w:t xml:space="preserve">(See sql_result as table, and visualization above.)</w:t>
      </w:r>
    </w:p>
    <w:p>
      <w:pPr>
        <w:pStyle w:val="Compact"/>
        <w:numPr>
          <w:ilvl w:val="0"/>
          <w:numId w:val="1029"/>
        </w:numPr>
      </w:pPr>
      <w:r>
        <w:t xml:space="preserve">Internal Database Query via SQL Agent:</w:t>
      </w:r>
      <w:r>
        <w:t xml:space="preserve"> </w:t>
      </w:r>
      <w:r>
        <w:t xml:space="preserve">“What are the projected budget and required manpower/resources for a GHN field delivery staff productivity improvement campaign targeting a 15% increase over 3 quarters (reference similar historical initiatives if available)?”</w:t>
      </w:r>
      <w:r>
        <w:t xml:space="preserve"> </w:t>
      </w:r>
      <w:r>
        <w:t xml:space="preserve">(See sql_result as table, and visualization above.)</w:t>
      </w:r>
    </w:p>
    <w:p>
      <w:pPr>
        <w:pStyle w:val="Compact"/>
        <w:numPr>
          <w:ilvl w:val="0"/>
          <w:numId w:val="1029"/>
        </w:numPr>
      </w:pPr>
      <w:hyperlink r:id="rId105">
        <w:r>
          <w:rPr>
            <w:rStyle w:val="Hyperlink"/>
          </w:rPr>
          <w:t xml:space="preserve">2025 Logistics Trends in Southeast Asia | Cello Square</w:t>
        </w:r>
      </w:hyperlink>
    </w:p>
    <w:p>
      <w:pPr>
        <w:pStyle w:val="Compact"/>
        <w:numPr>
          <w:ilvl w:val="0"/>
          <w:numId w:val="1029"/>
        </w:numPr>
      </w:pPr>
      <w:hyperlink r:id="rId106">
        <w:r>
          <w:rPr>
            <w:rStyle w:val="Hyperlink"/>
          </w:rPr>
          <w:t xml:space="preserve">ASEAN Logistics Market—Disruptive Innovations, Forecast to 2025 | Frost &amp; Sullivan</w:t>
        </w:r>
      </w:hyperlink>
    </w:p>
    <w:p>
      <w:pPr>
        <w:pStyle w:val="Compact"/>
        <w:numPr>
          <w:ilvl w:val="0"/>
          <w:numId w:val="1029"/>
        </w:numPr>
      </w:pPr>
      <w:r>
        <w:t xml:space="preserve">Internal Database Query via SQL Agent:</w:t>
      </w:r>
      <w:r>
        <w:t xml:space="preserve"> </w:t>
      </w:r>
      <w:r>
        <w:t xml:space="preserve">“Region-level breakdown for the past 12 months of (1) average parcel volume handled per month, (2) average order density (orders per sq km), (3) current branch (bưu cục) coverage (% of districts with at least one branch), and (4) number of active branches, for all main operational regions.”</w:t>
      </w:r>
      <w:r>
        <w:t xml:space="preserve"> </w:t>
      </w:r>
      <w:r>
        <w:t xml:space="preserve">(See table &amp; heatmap image: ..//Users/hieudao/Desktop/untitled_folder/deep_research_project/reports/images/region_breakdown_12months.png)</w:t>
      </w:r>
    </w:p>
    <w:p>
      <w:pPr>
        <w:pStyle w:val="Compact"/>
        <w:numPr>
          <w:ilvl w:val="0"/>
          <w:numId w:val="1029"/>
        </w:numPr>
      </w:pPr>
      <w:hyperlink r:id="rId107">
        <w:r>
          <w:rPr>
            <w:rStyle w:val="Hyperlink"/>
          </w:rPr>
          <w:t xml:space="preserve">Vietnam Courier, Express, and Parcel (CEP) Market Size</w:t>
        </w:r>
      </w:hyperlink>
    </w:p>
    <w:p>
      <w:pPr>
        <w:pStyle w:val="Compact"/>
        <w:numPr>
          <w:ilvl w:val="0"/>
          <w:numId w:val="1029"/>
        </w:numPr>
      </w:pPr>
      <w:hyperlink r:id="rId29">
        <w:r>
          <w:rPr>
            <w:rStyle w:val="Hyperlink"/>
          </w:rPr>
          <w:t xml:space="preserve">Vietnam Courier, Express, And Parcel (CEP) Market 2025-2033</w:t>
        </w:r>
      </w:hyperlink>
    </w:p>
    <w:p>
      <w:pPr>
        <w:pStyle w:val="Compact"/>
        <w:numPr>
          <w:ilvl w:val="0"/>
          <w:numId w:val="1029"/>
        </w:numPr>
      </w:pPr>
      <w:hyperlink r:id="rId108">
        <w:r>
          <w:rPr>
            <w:rStyle w:val="Hyperlink"/>
          </w:rPr>
          <w:t xml:space="preserve">Vietnam Express Delivery Services Market</w:t>
        </w:r>
      </w:hyperlink>
    </w:p>
    <w:p>
      <w:pPr>
        <w:pStyle w:val="Compact"/>
        <w:numPr>
          <w:ilvl w:val="0"/>
          <w:numId w:val="1029"/>
        </w:numPr>
      </w:pPr>
      <w:hyperlink r:id="rId109">
        <w:r>
          <w:rPr>
            <w:rStyle w:val="Hyperlink"/>
          </w:rPr>
          <w:t xml:space="preserve">The Booming Vietnam Express Delivery Services Market</w:t>
        </w:r>
      </w:hyperlink>
    </w:p>
    <w:p>
      <w:pPr>
        <w:pStyle w:val="Compact"/>
        <w:numPr>
          <w:ilvl w:val="0"/>
          <w:numId w:val="1029"/>
        </w:numPr>
      </w:pPr>
      <w:hyperlink r:id="rId110">
        <w:r>
          <w:rPr>
            <w:rStyle w:val="Hyperlink"/>
          </w:rPr>
          <w:t xml:space="preserve">Vietnam Logistics Market Size &amp; Share Report | 2025-2034</w:t>
        </w:r>
      </w:hyperlink>
    </w:p>
    <w:p>
      <w:pPr>
        <w:pStyle w:val="Compact"/>
        <w:numPr>
          <w:ilvl w:val="0"/>
          <w:numId w:val="1029"/>
        </w:numPr>
      </w:pPr>
      <w:hyperlink r:id="rId111">
        <w:r>
          <w:rPr>
            <w:rStyle w:val="Hyperlink"/>
          </w:rPr>
          <w:t xml:space="preserve">Vietnam Freight and Logistics Market Size &amp; Share Analysis</w:t>
        </w:r>
      </w:hyperlink>
    </w:p>
    <w:p>
      <w:pPr>
        <w:pStyle w:val="Compact"/>
        <w:numPr>
          <w:ilvl w:val="0"/>
          <w:numId w:val="1029"/>
        </w:numPr>
      </w:pPr>
      <w:hyperlink r:id="rId112">
        <w:r>
          <w:rPr>
            <w:rStyle w:val="Hyperlink"/>
          </w:rPr>
          <w:t xml:space="preserve">Vietnam Logistics and Warehousing Market Outlook to 2029</w:t>
        </w:r>
      </w:hyperlink>
    </w:p>
    <w:p>
      <w:pPr>
        <w:pStyle w:val="Compact"/>
        <w:numPr>
          <w:ilvl w:val="0"/>
          <w:numId w:val="1029"/>
        </w:numPr>
      </w:pPr>
      <w:hyperlink r:id="rId113">
        <w:r>
          <w:rPr>
            <w:rStyle w:val="Hyperlink"/>
          </w:rPr>
          <w:t xml:space="preserve">Vietnam Logistics Market Size, Share and Outlook Report 2033</w:t>
        </w:r>
      </w:hyperlink>
    </w:p>
    <w:p>
      <w:pPr>
        <w:pStyle w:val="Compact"/>
        <w:numPr>
          <w:ilvl w:val="0"/>
          <w:numId w:val="1029"/>
        </w:numPr>
      </w:pPr>
      <w:r>
        <w:t xml:space="preserve">Internal Database Query via SQL Agent:</w:t>
      </w:r>
      <w:r>
        <w:t xml:space="preserve"> </w:t>
      </w:r>
      <w:r>
        <w:t xml:space="preserve">“For the last 12 months, what have been the average productivity metrics for delivery staff—broken down by density (shipments per km²), volume per delivery run, and technology adoption (orders handled via mobile app vs. manual)? Provide summary statistics and correlation insights where available.”</w:t>
      </w:r>
    </w:p>
    <w:p>
      <w:pPr>
        <w:pStyle w:val="Compact"/>
        <w:numPr>
          <w:ilvl w:val="0"/>
          <w:numId w:val="1029"/>
        </w:numPr>
      </w:pPr>
      <w:hyperlink r:id="rId114">
        <w:r>
          <w:rPr>
            <w:rStyle w:val="Hyperlink"/>
          </w:rPr>
          <w:t xml:space="preserve">Logistics SWOT analysis examples and explanations - Solink</w:t>
        </w:r>
      </w:hyperlink>
    </w:p>
    <w:p>
      <w:pPr>
        <w:pStyle w:val="Compact"/>
        <w:numPr>
          <w:ilvl w:val="0"/>
          <w:numId w:val="1029"/>
        </w:numPr>
      </w:pPr>
      <w:hyperlink r:id="rId115">
        <w:r>
          <w:rPr>
            <w:rStyle w:val="Hyperlink"/>
          </w:rPr>
          <w:t xml:space="preserve">UPS: Business Model, SWOT Analysis, and Competitors 2024</w:t>
        </w:r>
      </w:hyperlink>
    </w:p>
    <w:p>
      <w:pPr>
        <w:pStyle w:val="Compact"/>
        <w:numPr>
          <w:ilvl w:val="0"/>
          <w:numId w:val="1029"/>
        </w:numPr>
      </w:pPr>
      <w:hyperlink r:id="rId116">
        <w:r>
          <w:rPr>
            <w:rStyle w:val="Hyperlink"/>
          </w:rPr>
          <w:t xml:space="preserve">Internal and external factors for logistics strategy - the intact one</w:t>
        </w:r>
      </w:hyperlink>
    </w:p>
    <w:p>
      <w:pPr>
        <w:pStyle w:val="Compact"/>
        <w:numPr>
          <w:ilvl w:val="0"/>
          <w:numId w:val="1029"/>
        </w:numPr>
      </w:pPr>
      <w:hyperlink r:id="rId117">
        <w:r>
          <w:rPr>
            <w:rStyle w:val="Hyperlink"/>
          </w:rPr>
          <w:t xml:space="preserve">Efficiency Evaluation and Influencing Factors Analysis of Logistics …</w:t>
        </w:r>
      </w:hyperlink>
    </w:p>
    <w:p>
      <w:pPr>
        <w:pStyle w:val="Compact"/>
        <w:numPr>
          <w:ilvl w:val="0"/>
          <w:numId w:val="1029"/>
        </w:numPr>
      </w:pPr>
      <w:hyperlink r:id="rId118">
        <w:r>
          <w:rPr>
            <w:rStyle w:val="Hyperlink"/>
          </w:rPr>
          <w:t xml:space="preserve">Influencing the External Factors that Impact Productivity | FMI Corp</w:t>
        </w:r>
      </w:hyperlink>
    </w:p>
    <w:p>
      <w:pPr>
        <w:pStyle w:val="Compact"/>
        <w:numPr>
          <w:ilvl w:val="0"/>
          <w:numId w:val="1029"/>
        </w:numPr>
      </w:pPr>
      <w:hyperlink r:id="rId119">
        <w:r>
          <w:rPr>
            <w:rStyle w:val="Hyperlink"/>
          </w:rPr>
          <w:t xml:space="preserve">Supply Chain Challenges and How to Proactively Combat Them …</w:t>
        </w:r>
      </w:hyperlink>
    </w:p>
    <w:p>
      <w:pPr>
        <w:pStyle w:val="Compact"/>
        <w:numPr>
          <w:ilvl w:val="0"/>
          <w:numId w:val="1029"/>
        </w:numPr>
      </w:pPr>
      <w:hyperlink r:id="rId120">
        <w:r>
          <w:rPr>
            <w:rStyle w:val="Hyperlink"/>
          </w:rPr>
          <w:t xml:space="preserve">Reinventing Supply Chains in SEA | Case Studies</w:t>
        </w:r>
      </w:hyperlink>
    </w:p>
    <w:p>
      <w:pPr>
        <w:pStyle w:val="Compact"/>
        <w:numPr>
          <w:ilvl w:val="0"/>
          <w:numId w:val="1029"/>
        </w:numPr>
      </w:pPr>
      <w:hyperlink r:id="rId121">
        <w:r>
          <w:rPr>
            <w:rStyle w:val="Hyperlink"/>
          </w:rPr>
          <w:t xml:space="preserve">150 Case Studies Exploring Logistics | by Mark Bridges - Medium</w:t>
        </w:r>
      </w:hyperlink>
    </w:p>
    <w:p>
      <w:pPr>
        <w:pStyle w:val="Compact"/>
        <w:numPr>
          <w:ilvl w:val="0"/>
          <w:numId w:val="1029"/>
        </w:numPr>
      </w:pPr>
      <w:hyperlink r:id="rId122">
        <w:r>
          <w:rPr>
            <w:rStyle w:val="Hyperlink"/>
          </w:rPr>
          <w:t xml:space="preserve">Logistics Sector in ASEAN | OECD</w:t>
        </w:r>
      </w:hyperlink>
    </w:p>
    <w:p>
      <w:pPr>
        <w:pStyle w:val="Compact"/>
        <w:numPr>
          <w:ilvl w:val="0"/>
          <w:numId w:val="1029"/>
        </w:numPr>
      </w:pPr>
      <w:hyperlink r:id="rId123">
        <w:r>
          <w:rPr>
            <w:rStyle w:val="Hyperlink"/>
          </w:rPr>
          <w:t xml:space="preserve">Five Trends That Will Drive Supply Chain Success in 2024</w:t>
        </w:r>
      </w:hyperlink>
    </w:p>
    <w:p>
      <w:pPr>
        <w:pStyle w:val="Compact"/>
        <w:numPr>
          <w:ilvl w:val="0"/>
          <w:numId w:val="1029"/>
        </w:numPr>
      </w:pPr>
      <w:hyperlink r:id="rId124">
        <w:r>
          <w:rPr>
            <w:rStyle w:val="Hyperlink"/>
          </w:rPr>
          <w:t xml:space="preserve">Top Insights about Logistics Trends in 2024 - Quantium Solutions</w:t>
        </w:r>
      </w:hyperlink>
    </w:p>
    <w:p>
      <w:pPr>
        <w:pStyle w:val="Compact"/>
        <w:numPr>
          <w:ilvl w:val="0"/>
          <w:numId w:val="1029"/>
        </w:numPr>
      </w:pPr>
      <w:r>
        <w:t xml:space="preserve">McKinsey: Digital logistics technology, performance gains, survey &gt;10,000 doanh nghiệp logistics toàn cầu 2023-2025 [https://www.mckinsey.com/capabilities/operations/our-insights/digital-logistics-technology-race-gathers-momentum]</w:t>
      </w:r>
    </w:p>
    <w:p>
      <w:pPr>
        <w:pStyle w:val="Compact"/>
        <w:numPr>
          <w:ilvl w:val="0"/>
          <w:numId w:val="1029"/>
        </w:numPr>
      </w:pPr>
      <w:r>
        <w:t xml:space="preserve">HaiRobotics: Top 3 Trending Efficiency and Productivity Benefits of Warehouse Automation 2024 [https://www.hairobotics.com/blog/top-3-trending-efficiency-and-productivity-benefits-warehouse-automation-2024]</w:t>
      </w:r>
    </w:p>
    <w:p>
      <w:pPr>
        <w:pStyle w:val="Compact"/>
        <w:numPr>
          <w:ilvl w:val="0"/>
          <w:numId w:val="1029"/>
        </w:numPr>
      </w:pPr>
      <w:r>
        <w:t xml:space="preserve">Wavestone: Quick wins: how to optimize cost/time effectively your logistics site? [https://www.wavestone.com/en/insight/which-quick-wins-with-automation/]</w:t>
      </w:r>
    </w:p>
    <w:p>
      <w:pPr>
        <w:pStyle w:val="Compact"/>
        <w:numPr>
          <w:ilvl w:val="0"/>
          <w:numId w:val="1029"/>
        </w:numPr>
      </w:pPr>
      <w:r>
        <w:t xml:space="preserve">Fareye: 8 Key Strategies &amp; Best Practices [https://fareye.com/resources/blogs/how-to-achieve-logistics-efficiency]</w:t>
      </w:r>
    </w:p>
    <w:p>
      <w:pPr>
        <w:pStyle w:val="Compact"/>
        <w:numPr>
          <w:ilvl w:val="0"/>
          <w:numId w:val="1029"/>
        </w:numPr>
      </w:pPr>
      <w:r>
        <w:t xml:space="preserve">Logistics Bureau: The Deceptive Simplicity of Boosting Productivity in Supply Chains [https://www.logisticsbureau.com/the-deceptive-simplicity-of-boosting-productivity-in-supply-chains/]</w:t>
      </w:r>
    </w:p>
    <w:p>
      <w:pPr>
        <w:pStyle w:val="Compact"/>
        <w:numPr>
          <w:ilvl w:val="0"/>
          <w:numId w:val="1029"/>
        </w:numPr>
      </w:pPr>
      <w:r>
        <w:t xml:space="preserve">Kaizen Institute: 5 Ways to Improve Logistical Performance [https://kaizen.com/insights/5-ways-improve-logistics-performance/]</w:t>
      </w:r>
    </w:p>
    <w:p>
      <w:pPr>
        <w:pStyle w:val="Compact"/>
        <w:numPr>
          <w:ilvl w:val="0"/>
          <w:numId w:val="1029"/>
        </w:numPr>
      </w:pPr>
      <w:r>
        <w:t xml:space="preserve">The Ecomm Manager: 13 Strategies to Boost Warehouse Efficiency &amp; Maximize Productivity [https://theecommmanager.com/ecommerce-logistics/warehouse-efficiency/]</w:t>
      </w:r>
    </w:p>
    <w:p>
      <w:pPr>
        <w:pStyle w:val="Compact"/>
        <w:numPr>
          <w:ilvl w:val="0"/>
          <w:numId w:val="1029"/>
        </w:numPr>
      </w:pPr>
      <w:r>
        <w:t xml:space="preserve">Netlogistik: Five ways to solve last mile problems in 2024 [https://www.netlogistik.com/en/blog/5-ways-to-solve-last-mile-problems-in-2024]</w:t>
      </w:r>
    </w:p>
    <w:p>
      <w:pPr>
        <w:pStyle w:val="Compact"/>
        <w:numPr>
          <w:ilvl w:val="0"/>
          <w:numId w:val="1029"/>
        </w:numPr>
      </w:pPr>
      <w:r>
        <w:t xml:space="preserve">SRM Tech: Last-Mile Delivery Optimization Solutions to Look for in 2024 [https://www.srmtech.com/knowledge-base/blogs/last-mile-delivery-optimization-solutions-to-look-for-in-2024/]</w:t>
      </w:r>
    </w:p>
    <w:p>
      <w:pPr>
        <w:pStyle w:val="Compact"/>
        <w:numPr>
          <w:ilvl w:val="0"/>
          <w:numId w:val="1029"/>
        </w:numPr>
      </w:pPr>
      <w:r>
        <w:t xml:space="preserve">WorkWave: Last Mile Delivery Optimization Strategies for 2025 [https://insights.workwave.com/industry/home-delivery/last-mile-delivery-route-optimization-strategies/]</w:t>
      </w:r>
    </w:p>
    <w:p>
      <w:pPr>
        <w:pStyle w:val="Compact"/>
        <w:numPr>
          <w:ilvl w:val="0"/>
          <w:numId w:val="1029"/>
        </w:numPr>
      </w:pPr>
      <w:r>
        <w:t xml:space="preserve">PDF: Global logistics: The link between technology and productivity [https://video.wisetechglobal.com/files/75931710-attachment/Reuters%20Events%20CargoWise%202022%20Global%20Logistics%20Report.pdf]</w:t>
      </w:r>
    </w:p>
    <w:p>
      <w:pPr>
        <w:pStyle w:val="Compact"/>
        <w:numPr>
          <w:ilvl w:val="0"/>
          <w:numId w:val="1029"/>
        </w:numPr>
      </w:pPr>
      <w:r>
        <w:t xml:space="preserve">McKinsey 2023-2025 Digital Logistics Survey [same as 1]</w:t>
      </w:r>
    </w:p>
    <w:p>
      <w:pPr>
        <w:pStyle w:val="Compact"/>
        <w:numPr>
          <w:ilvl w:val="0"/>
          <w:numId w:val="1029"/>
        </w:numPr>
      </w:pPr>
      <w:r>
        <w:t xml:space="preserve">ActivTrak: Logistics Leads in Productivity and AI [https://www.activtrak.com/blog/workplace-insights-logistics/]</w:t>
      </w:r>
    </w:p>
    <w:p>
      <w:pPr>
        <w:pStyle w:val="Compact"/>
        <w:numPr>
          <w:ilvl w:val="0"/>
          <w:numId w:val="1029"/>
        </w:numPr>
      </w:pPr>
      <w:r>
        <w:t xml:space="preserve">StartUs Insights: Logistics Technology: Top 10 Trends in 2025 [https://www.startus-insights.com/innovators-guide/logistics-technology-full-guide/]</w:t>
      </w:r>
    </w:p>
    <w:p>
      <w:pPr>
        <w:pStyle w:val="Compact"/>
        <w:numPr>
          <w:ilvl w:val="0"/>
          <w:numId w:val="1029"/>
        </w:numPr>
      </w:pPr>
      <w:r>
        <w:t xml:space="preserve">Global Trade Mag: Incentivizing Supply Chain Employees [https://www.globaltrademag.com/incentivizing-supply-chain-employees-8-effective-ideas/]</w:t>
      </w:r>
    </w:p>
    <w:p>
      <w:pPr>
        <w:pStyle w:val="Compact"/>
        <w:numPr>
          <w:ilvl w:val="0"/>
          <w:numId w:val="1029"/>
        </w:numPr>
      </w:pPr>
      <w:r>
        <w:t xml:space="preserve">Fingent: The Best Ways To Improve Productivity For Logistics Businesses [https://www.fingent.com/blog/the-best-ways-to-improve-productivity-for-logistics-businesses/]</w:t>
      </w:r>
    </w:p>
    <w:p>
      <w:pPr>
        <w:pStyle w:val="Compact"/>
        <w:numPr>
          <w:ilvl w:val="0"/>
          <w:numId w:val="1029"/>
        </w:numPr>
      </w:pPr>
      <w:r>
        <w:t xml:space="preserve">Oliver Wyman: Supply-Chain Optimization: Levers For Rapid EBITDA [https://www.oliverwyman.com/our-expertise/insights/2018/may/supply-chain-optimization–levers-for-rapid-ebitda.html]</w:t>
      </w:r>
    </w:p>
    <w:p>
      <w:pPr>
        <w:pStyle w:val="Compact"/>
        <w:numPr>
          <w:ilvl w:val="0"/>
          <w:numId w:val="1029"/>
        </w:numPr>
      </w:pPr>
      <w:r>
        <w:t xml:space="preserve">Routific: 8 Practical Ways To Improve Delivery Efficiency [https://www.routific.com/blog/improve-delivery-efficiency]</w:t>
      </w:r>
    </w:p>
    <w:p>
      <w:pPr>
        <w:pStyle w:val="Compact"/>
        <w:numPr>
          <w:ilvl w:val="0"/>
          <w:numId w:val="1029"/>
        </w:numPr>
      </w:pPr>
      <w:r>
        <w:t xml:space="preserve">McKinsey: AI in the workplace 2025 [https://www.mckinsey.com/capabilities/mckinsey-digital/our-insights/superagency-in-the-workplace-empowering-people-to-unlock-ais-full-potential-at-work]</w:t>
      </w:r>
    </w:p>
    <w:p>
      <w:pPr>
        <w:pStyle w:val="Compact"/>
        <w:numPr>
          <w:ilvl w:val="0"/>
          <w:numId w:val="1029"/>
        </w:numPr>
      </w:pPr>
      <w:r>
        <w:t xml:space="preserve">Korn Ferry: Workforce 2025 Survey [https://www.kornferry.com/insights/featured-topics/workforce-management/workforce-planning-insights]</w:t>
      </w:r>
    </w:p>
    <w:p>
      <w:pPr>
        <w:pStyle w:val="Compact"/>
        <w:numPr>
          <w:ilvl w:val="0"/>
          <w:numId w:val="1029"/>
        </w:numPr>
      </w:pPr>
      <w:hyperlink r:id="rId125">
        <w:r>
          <w:rPr>
            <w:rStyle w:val="Hyperlink"/>
          </w:rPr>
          <w:t xml:space="preserve">Operational Improvement: Strategies, Implementation, and Best Practices - 6sigma.us</w:t>
        </w:r>
      </w:hyperlink>
    </w:p>
    <w:p>
      <w:pPr>
        <w:pStyle w:val="Compact"/>
        <w:numPr>
          <w:ilvl w:val="0"/>
          <w:numId w:val="1029"/>
        </w:numPr>
      </w:pPr>
      <w:hyperlink r:id="rId126">
        <w:r>
          <w:rPr>
            <w:rStyle w:val="Hyperlink"/>
          </w:rPr>
          <w:t xml:space="preserve">Digital transformation to achieve operational excellence – McKinsey</w:t>
        </w:r>
      </w:hyperlink>
    </w:p>
    <w:p>
      <w:pPr>
        <w:pStyle w:val="Compact"/>
        <w:numPr>
          <w:ilvl w:val="0"/>
          <w:numId w:val="1029"/>
        </w:numPr>
      </w:pPr>
      <w:hyperlink r:id="rId127">
        <w:r>
          <w:rPr>
            <w:rStyle w:val="Hyperlink"/>
          </w:rPr>
          <w:t xml:space="preserve">4 best practices for logistics managers in 2025 – SupplyChainDive</w:t>
        </w:r>
      </w:hyperlink>
    </w:p>
    <w:p>
      <w:pPr>
        <w:pStyle w:val="Compact"/>
        <w:numPr>
          <w:ilvl w:val="0"/>
          <w:numId w:val="1029"/>
        </w:numPr>
      </w:pPr>
      <w:hyperlink r:id="rId128">
        <w:r>
          <w:rPr>
            <w:rStyle w:val="Hyperlink"/>
          </w:rPr>
          <w:t xml:space="preserve">Southeast Asia quarterly economic review: Q1 2025 – McKinsey</w:t>
        </w:r>
      </w:hyperlink>
    </w:p>
    <w:p>
      <w:pPr>
        <w:pStyle w:val="Compact"/>
        <w:numPr>
          <w:ilvl w:val="0"/>
          <w:numId w:val="1029"/>
        </w:numPr>
      </w:pPr>
      <w:hyperlink r:id="rId129">
        <w:r>
          <w:rPr>
            <w:rStyle w:val="Hyperlink"/>
          </w:rPr>
          <w:t xml:space="preserve">ASEAN Investment Report 2024</w:t>
        </w:r>
      </w:hyperlink>
    </w:p>
    <w:p>
      <w:pPr>
        <w:pStyle w:val="Compact"/>
        <w:numPr>
          <w:ilvl w:val="0"/>
          <w:numId w:val="1029"/>
        </w:numPr>
      </w:pPr>
      <w:hyperlink r:id="rId130">
        <w:r>
          <w:rPr>
            <w:rStyle w:val="Hyperlink"/>
          </w:rPr>
          <w:t xml:space="preserve">Top Supply Chain Management Strategies for 2025 – Ivalua</w:t>
        </w:r>
      </w:hyperlink>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9" Target="https://asean.org/wp-content/uploads/2024/10/AIR2024-3.pdf" TargetMode="External" /><Relationship Type="http://schemas.openxmlformats.org/officeDocument/2006/relationships/hyperlink" Id="rId96" Target="https://blog.stanmoreuk.org/how-to-develop-a-strong-logistics-governance-2/" TargetMode="External" /><Relationship Type="http://schemas.openxmlformats.org/officeDocument/2006/relationships/hyperlink" Id="rId118" Target="https://fmicorp.com/insights/quick-reads/influencing-the-external-factors-that-impact-productivity" TargetMode="External" /><Relationship Type="http://schemas.openxmlformats.org/officeDocument/2006/relationships/hyperlink" Id="rId75" Target="https://insightsoftware.com/blog/20-best-logistics-kpis-and-metric-examples/" TargetMode="External" /><Relationship Type="http://schemas.openxmlformats.org/officeDocument/2006/relationships/hyperlink" Id="rId121" Target="https://mark-bridges.medium.com/150-case-studies-exploring-logistics-3e982c85b030" TargetMode="External" /><Relationship Type="http://schemas.openxmlformats.org/officeDocument/2006/relationships/hyperlink" Id="rId120" Target="https://marketresearchsoutheastasia.com/case-studies/connected-efficiency-reinventing-supply-chains-in-southeast-asia" TargetMode="External" /><Relationship Type="http://schemas.openxmlformats.org/officeDocument/2006/relationships/hyperlink" Id="rId108" Target="https://markwideresearch.com/vietnam-express-delivery-services-market/" TargetMode="External" /><Relationship Type="http://schemas.openxmlformats.org/officeDocument/2006/relationships/hyperlink" Id="rId80" Target="https://mnshipping.com.vn/vietnams-logistics-boom-infrastructure-investments-e-commerce-growth-and-rising-costs-in-2024/" TargetMode="External" /><Relationship Type="http://schemas.openxmlformats.org/officeDocument/2006/relationships/hyperlink" Id="rId32" Target="https://multiples.vc/public-comps/jandt-global-express-valuation-multiples" TargetMode="External" /><Relationship Type="http://schemas.openxmlformats.org/officeDocument/2006/relationships/hyperlink" Id="rId89" Target="https://onfleet.com/blog/delivery-kpi/" TargetMode="External" /><Relationship Type="http://schemas.openxmlformats.org/officeDocument/2006/relationships/hyperlink" Id="rId115" Target="https://pitchgrade.com/companies/ups" TargetMode="External" /><Relationship Type="http://schemas.openxmlformats.org/officeDocument/2006/relationships/hyperlink" Id="rId117" Target="https://pmc.ncbi.nlm.nih.gov/articles/PMC9427213/" TargetMode="External" /><Relationship Type="http://schemas.openxmlformats.org/officeDocument/2006/relationships/hyperlink" Id="rId109" Target="https://rivercountry.newschannelnebraska.com/story/52884410/the-booming-vietnam-express-delivery-services-market-a-241-cagr-to-usd-488-billion-by-2030" TargetMode="External" /><Relationship Type="http://schemas.openxmlformats.org/officeDocument/2006/relationships/hyperlink" Id="rId114" Target="https://solink.com/resources/industry-insights/logistics-swot-analysis-examples/" TargetMode="External" /><Relationship Type="http://schemas.openxmlformats.org/officeDocument/2006/relationships/hyperlink" Id="rId106" Target="https://store.frost.com/asean-logistics-market-disruptive-innovations-forecast-to-2025.html" TargetMode="External" /><Relationship Type="http://schemas.openxmlformats.org/officeDocument/2006/relationships/hyperlink" Id="rId116" Target="https://theintactone.com/2023/02/02/internal-and-external-factors-for-logistics-strategy/" TargetMode="External" /><Relationship Type="http://schemas.openxmlformats.org/officeDocument/2006/relationships/hyperlink" Id="rId77" Target="https://warehousewhisper.com/kpi-for-warehouse" TargetMode="External" /><Relationship Type="http://schemas.openxmlformats.org/officeDocument/2006/relationships/hyperlink" Id="rId125" Target="https://www.6sigma.us/business-process-management-articles/operational-improvement/" TargetMode="External" /><Relationship Type="http://schemas.openxmlformats.org/officeDocument/2006/relationships/hyperlink" Id="rId119" Target="https://www.amu.apus.edu/area-of-study/business-administration-and-management/resources/supply-chain-challenges/" TargetMode="External" /><Relationship Type="http://schemas.openxmlformats.org/officeDocument/2006/relationships/hyperlink" Id="rId97" Target="https://www.boardwise.io/en/blog/governance-structure-the-secret-weapon-behind-corporate-success" TargetMode="External" /><Relationship Type="http://schemas.openxmlformats.org/officeDocument/2006/relationships/hyperlink" Id="rId105" Target="https://www.cello-square.com/en/blog/view-1612.do" TargetMode="External" /><Relationship Type="http://schemas.openxmlformats.org/officeDocument/2006/relationships/hyperlink" Id="rId95" Target="https://www.chas.co.uk/blog/risk-management-logistics-transport/" TargetMode="External" /><Relationship Type="http://schemas.openxmlformats.org/officeDocument/2006/relationships/hyperlink" Id="rId29" Target="https://www.datainsightsmarket.com/reports/vietnam-courier-express-and-parcel-cep-market-16010" TargetMode="External" /><Relationship Type="http://schemas.openxmlformats.org/officeDocument/2006/relationships/hyperlink" Id="rId88" Target="https://www.edstellar.com/blog/responsibility-assignment-matrix" TargetMode="External" /><Relationship Type="http://schemas.openxmlformats.org/officeDocument/2006/relationships/hyperlink" Id="rId94" Target="https://www.effivity.com/blog/risk-matrix" TargetMode="External" /><Relationship Type="http://schemas.openxmlformats.org/officeDocument/2006/relationships/hyperlink" Id="rId110" Target="https://www.expertmarketresearch.com/reports/vietnam-logistics-market" TargetMode="External" /><Relationship Type="http://schemas.openxmlformats.org/officeDocument/2006/relationships/hyperlink" Id="rId76" Target="https://www.goramp.com/blog/logistics-kpis" TargetMode="External" /><Relationship Type="http://schemas.openxmlformats.org/officeDocument/2006/relationships/hyperlink" Id="rId91" Target="https://www.hmdtrucking.com/blog/transportation-key-performance-indicators/" TargetMode="External" /><Relationship Type="http://schemas.openxmlformats.org/officeDocument/2006/relationships/hyperlink" Id="rId113" Target="https://www.imarcgroup.com/vietnam-logistics-market" TargetMode="External" /><Relationship Type="http://schemas.openxmlformats.org/officeDocument/2006/relationships/hyperlink" Id="rId90" Target="https://www.inboundlogistics.com/articles/are-your-key-performance-indicators-kpis-ready-for-a-tighter-freight-market/" TargetMode="External" /><Relationship Type="http://schemas.openxmlformats.org/officeDocument/2006/relationships/hyperlink" Id="rId130" Target="https://www.ivalua.com/blog/top-supply-chain-strategies-to-optimize-operations-in-2025/" TargetMode="External" /><Relationship Type="http://schemas.openxmlformats.org/officeDocument/2006/relationships/hyperlink" Id="rId30" Target="https://www.marketresearch.com/Ken-Research-v3771/Vietnam-Express-Delivery-Outlook-40735902/" TargetMode="External" /><Relationship Type="http://schemas.openxmlformats.org/officeDocument/2006/relationships/hyperlink" Id="rId126" Target="https://www.mckinsey.com/capabilities/operations/our-insights/digital-transformation-to-achieve-operational-excellence" TargetMode="External" /><Relationship Type="http://schemas.openxmlformats.org/officeDocument/2006/relationships/hyperlink" Id="rId128" Target="https://www.mckinsey.com/featured-insights/future-of-asia/southeast-asia-quarterly-economic-review" TargetMode="External" /><Relationship Type="http://schemas.openxmlformats.org/officeDocument/2006/relationships/hyperlink" Id="rId79" Target="https://www.mdpi.com/2079-9276/14/7/106" TargetMode="External" /><Relationship Type="http://schemas.openxmlformats.org/officeDocument/2006/relationships/hyperlink" Id="rId87" Target="https://www.meegle.com/en_us/topics/supply-chain/raci-matrix" TargetMode="External" /><Relationship Type="http://schemas.openxmlformats.org/officeDocument/2006/relationships/hyperlink" Id="rId107" Target="https://www.mordorintelligence.com/industry-reports/vietnam-courier-express-and-parcel-cep-market" TargetMode="External" /><Relationship Type="http://schemas.openxmlformats.org/officeDocument/2006/relationships/hyperlink" Id="rId111" Target="https://www.mordorintelligence.com/industry-reports/vietnam-freight-logistics-market" TargetMode="External" /><Relationship Type="http://schemas.openxmlformats.org/officeDocument/2006/relationships/hyperlink" Id="rId122" Target="https://www.oecd.org/content/dam/oecd/en/publications/reports/2021/09/oecd-competition-assessment-reviews-logistics-sector-in-asean_a3c71f68/2dcba34b-en.pdf" TargetMode="External" /><Relationship Type="http://schemas.openxmlformats.org/officeDocument/2006/relationships/hyperlink" Id="rId78" Target="https://www.opex.com/ebook/how-to-calculate-the-true-roi-of-warehouse-automation/" TargetMode="External" /><Relationship Type="http://schemas.openxmlformats.org/officeDocument/2006/relationships/hyperlink" Id="rId93" Target="https://www.piranirisk.com/blog/operational-risk-examples" TargetMode="External" /><Relationship Type="http://schemas.openxmlformats.org/officeDocument/2006/relationships/hyperlink" Id="rId124" Target="https://www.quantiumsolutions.com/news/top-insights-about-logistics-trends-in-2024/" TargetMode="External" /><Relationship Type="http://schemas.openxmlformats.org/officeDocument/2006/relationships/hyperlink" Id="rId123" Target="https://www.supplychainbrain.com/blogs/1-think-tank/post/39390-five-trends-that-will-drive-supply-chain-success-in-2024" TargetMode="External" /><Relationship Type="http://schemas.openxmlformats.org/officeDocument/2006/relationships/hyperlink" Id="rId92" Target="https://www.supplychainbrain.com/blogs/1-think-tank/post/39525-red-sea-risk-matrix-a-model-for-managing-supply-chain-disruption" TargetMode="External" /><Relationship Type="http://schemas.openxmlformats.org/officeDocument/2006/relationships/hyperlink" Id="rId127" Target="https://www.supplychaindive.com/news/best-practices-for-logistics-managers-in-2025/743509/" TargetMode="External" /><Relationship Type="http://schemas.openxmlformats.org/officeDocument/2006/relationships/hyperlink" Id="rId112" Target="https://www.tracedataresearch.com/industry-report/vietnam-logistics-and-warehousing-market" TargetMode="External" /><Relationship Type="http://schemas.openxmlformats.org/officeDocument/2006/relationships/hyperlink" Id="rId31" Target="https://www.vietdata.vn/post/revenue-in-the-postal-and-express-delivery-sector-grew-9-3-which-big-players-are-flourishing-a?srsltid=AfmBOoqNplZR8DK2g1zkmOs-3BSskCote3yGUYRTdRdoRUys0qbJubFs" TargetMode="External" /><Relationship Type="http://schemas.openxmlformats.org/officeDocument/2006/relationships/hyperlink" Id="rId98" Target="https://www.workiva.com/blog/mastering-key-risk-indicators-kris" TargetMode="External" /></Relationships>
</file>

<file path=word/_rels/footnotes.xml.rels><?xml version="1.0" encoding="UTF-8"?><Relationships xmlns="http://schemas.openxmlformats.org/package/2006/relationships"><Relationship Type="http://schemas.openxmlformats.org/officeDocument/2006/relationships/hyperlink" Id="rId129" Target="https://asean.org/wp-content/uploads/2024/10/AIR2024-3.pdf" TargetMode="External" /><Relationship Type="http://schemas.openxmlformats.org/officeDocument/2006/relationships/hyperlink" Id="rId96" Target="https://blog.stanmoreuk.org/how-to-develop-a-strong-logistics-governance-2/" TargetMode="External" /><Relationship Type="http://schemas.openxmlformats.org/officeDocument/2006/relationships/hyperlink" Id="rId118" Target="https://fmicorp.com/insights/quick-reads/influencing-the-external-factors-that-impact-productivity" TargetMode="External" /><Relationship Type="http://schemas.openxmlformats.org/officeDocument/2006/relationships/hyperlink" Id="rId75" Target="https://insightsoftware.com/blog/20-best-logistics-kpis-and-metric-examples/" TargetMode="External" /><Relationship Type="http://schemas.openxmlformats.org/officeDocument/2006/relationships/hyperlink" Id="rId121" Target="https://mark-bridges.medium.com/150-case-studies-exploring-logistics-3e982c85b030" TargetMode="External" /><Relationship Type="http://schemas.openxmlformats.org/officeDocument/2006/relationships/hyperlink" Id="rId120" Target="https://marketresearchsoutheastasia.com/case-studies/connected-efficiency-reinventing-supply-chains-in-southeast-asia" TargetMode="External" /><Relationship Type="http://schemas.openxmlformats.org/officeDocument/2006/relationships/hyperlink" Id="rId108" Target="https://markwideresearch.com/vietnam-express-delivery-services-market/" TargetMode="External" /><Relationship Type="http://schemas.openxmlformats.org/officeDocument/2006/relationships/hyperlink" Id="rId80" Target="https://mnshipping.com.vn/vietnams-logistics-boom-infrastructure-investments-e-commerce-growth-and-rising-costs-in-2024/" TargetMode="External" /><Relationship Type="http://schemas.openxmlformats.org/officeDocument/2006/relationships/hyperlink" Id="rId32" Target="https://multiples.vc/public-comps/jandt-global-express-valuation-multiples" TargetMode="External" /><Relationship Type="http://schemas.openxmlformats.org/officeDocument/2006/relationships/hyperlink" Id="rId89" Target="https://onfleet.com/blog/delivery-kpi/" TargetMode="External" /><Relationship Type="http://schemas.openxmlformats.org/officeDocument/2006/relationships/hyperlink" Id="rId115" Target="https://pitchgrade.com/companies/ups" TargetMode="External" /><Relationship Type="http://schemas.openxmlformats.org/officeDocument/2006/relationships/hyperlink" Id="rId117" Target="https://pmc.ncbi.nlm.nih.gov/articles/PMC9427213/" TargetMode="External" /><Relationship Type="http://schemas.openxmlformats.org/officeDocument/2006/relationships/hyperlink" Id="rId109" Target="https://rivercountry.newschannelnebraska.com/story/52884410/the-booming-vietnam-express-delivery-services-market-a-241-cagr-to-usd-488-billion-by-2030" TargetMode="External" /><Relationship Type="http://schemas.openxmlformats.org/officeDocument/2006/relationships/hyperlink" Id="rId114" Target="https://solink.com/resources/industry-insights/logistics-swot-analysis-examples/" TargetMode="External" /><Relationship Type="http://schemas.openxmlformats.org/officeDocument/2006/relationships/hyperlink" Id="rId106" Target="https://store.frost.com/asean-logistics-market-disruptive-innovations-forecast-to-2025.html" TargetMode="External" /><Relationship Type="http://schemas.openxmlformats.org/officeDocument/2006/relationships/hyperlink" Id="rId116" Target="https://theintactone.com/2023/02/02/internal-and-external-factors-for-logistics-strategy/" TargetMode="External" /><Relationship Type="http://schemas.openxmlformats.org/officeDocument/2006/relationships/hyperlink" Id="rId77" Target="https://warehousewhisper.com/kpi-for-warehouse" TargetMode="External" /><Relationship Type="http://schemas.openxmlformats.org/officeDocument/2006/relationships/hyperlink" Id="rId125" Target="https://www.6sigma.us/business-process-management-articles/operational-improvement/" TargetMode="External" /><Relationship Type="http://schemas.openxmlformats.org/officeDocument/2006/relationships/hyperlink" Id="rId119" Target="https://www.amu.apus.edu/area-of-study/business-administration-and-management/resources/supply-chain-challenges/" TargetMode="External" /><Relationship Type="http://schemas.openxmlformats.org/officeDocument/2006/relationships/hyperlink" Id="rId97" Target="https://www.boardwise.io/en/blog/governance-structure-the-secret-weapon-behind-corporate-success" TargetMode="External" /><Relationship Type="http://schemas.openxmlformats.org/officeDocument/2006/relationships/hyperlink" Id="rId105" Target="https://www.cello-square.com/en/blog/view-1612.do" TargetMode="External" /><Relationship Type="http://schemas.openxmlformats.org/officeDocument/2006/relationships/hyperlink" Id="rId95" Target="https://www.chas.co.uk/blog/risk-management-logistics-transport/" TargetMode="External" /><Relationship Type="http://schemas.openxmlformats.org/officeDocument/2006/relationships/hyperlink" Id="rId29" Target="https://www.datainsightsmarket.com/reports/vietnam-courier-express-and-parcel-cep-market-16010" TargetMode="External" /><Relationship Type="http://schemas.openxmlformats.org/officeDocument/2006/relationships/hyperlink" Id="rId88" Target="https://www.edstellar.com/blog/responsibility-assignment-matrix" TargetMode="External" /><Relationship Type="http://schemas.openxmlformats.org/officeDocument/2006/relationships/hyperlink" Id="rId94" Target="https://www.effivity.com/blog/risk-matrix" TargetMode="External" /><Relationship Type="http://schemas.openxmlformats.org/officeDocument/2006/relationships/hyperlink" Id="rId110" Target="https://www.expertmarketresearch.com/reports/vietnam-logistics-market" TargetMode="External" /><Relationship Type="http://schemas.openxmlformats.org/officeDocument/2006/relationships/hyperlink" Id="rId76" Target="https://www.goramp.com/blog/logistics-kpis" TargetMode="External" /><Relationship Type="http://schemas.openxmlformats.org/officeDocument/2006/relationships/hyperlink" Id="rId91" Target="https://www.hmdtrucking.com/blog/transportation-key-performance-indicators/" TargetMode="External" /><Relationship Type="http://schemas.openxmlformats.org/officeDocument/2006/relationships/hyperlink" Id="rId113" Target="https://www.imarcgroup.com/vietnam-logistics-market" TargetMode="External" /><Relationship Type="http://schemas.openxmlformats.org/officeDocument/2006/relationships/hyperlink" Id="rId90" Target="https://www.inboundlogistics.com/articles/are-your-key-performance-indicators-kpis-ready-for-a-tighter-freight-market/" TargetMode="External" /><Relationship Type="http://schemas.openxmlformats.org/officeDocument/2006/relationships/hyperlink" Id="rId130" Target="https://www.ivalua.com/blog/top-supply-chain-strategies-to-optimize-operations-in-2025/" TargetMode="External" /><Relationship Type="http://schemas.openxmlformats.org/officeDocument/2006/relationships/hyperlink" Id="rId30" Target="https://www.marketresearch.com/Ken-Research-v3771/Vietnam-Express-Delivery-Outlook-40735902/" TargetMode="External" /><Relationship Type="http://schemas.openxmlformats.org/officeDocument/2006/relationships/hyperlink" Id="rId126" Target="https://www.mckinsey.com/capabilities/operations/our-insights/digital-transformation-to-achieve-operational-excellence" TargetMode="External" /><Relationship Type="http://schemas.openxmlformats.org/officeDocument/2006/relationships/hyperlink" Id="rId128" Target="https://www.mckinsey.com/featured-insights/future-of-asia/southeast-asia-quarterly-economic-review" TargetMode="External" /><Relationship Type="http://schemas.openxmlformats.org/officeDocument/2006/relationships/hyperlink" Id="rId79" Target="https://www.mdpi.com/2079-9276/14/7/106" TargetMode="External" /><Relationship Type="http://schemas.openxmlformats.org/officeDocument/2006/relationships/hyperlink" Id="rId87" Target="https://www.meegle.com/en_us/topics/supply-chain/raci-matrix" TargetMode="External" /><Relationship Type="http://schemas.openxmlformats.org/officeDocument/2006/relationships/hyperlink" Id="rId107" Target="https://www.mordorintelligence.com/industry-reports/vietnam-courier-express-and-parcel-cep-market" TargetMode="External" /><Relationship Type="http://schemas.openxmlformats.org/officeDocument/2006/relationships/hyperlink" Id="rId111" Target="https://www.mordorintelligence.com/industry-reports/vietnam-freight-logistics-market" TargetMode="External" /><Relationship Type="http://schemas.openxmlformats.org/officeDocument/2006/relationships/hyperlink" Id="rId122" Target="https://www.oecd.org/content/dam/oecd/en/publications/reports/2021/09/oecd-competition-assessment-reviews-logistics-sector-in-asean_a3c71f68/2dcba34b-en.pdf" TargetMode="External" /><Relationship Type="http://schemas.openxmlformats.org/officeDocument/2006/relationships/hyperlink" Id="rId78" Target="https://www.opex.com/ebook/how-to-calculate-the-true-roi-of-warehouse-automation/" TargetMode="External" /><Relationship Type="http://schemas.openxmlformats.org/officeDocument/2006/relationships/hyperlink" Id="rId93" Target="https://www.piranirisk.com/blog/operational-risk-examples" TargetMode="External" /><Relationship Type="http://schemas.openxmlformats.org/officeDocument/2006/relationships/hyperlink" Id="rId124" Target="https://www.quantiumsolutions.com/news/top-insights-about-logistics-trends-in-2024/" TargetMode="External" /><Relationship Type="http://schemas.openxmlformats.org/officeDocument/2006/relationships/hyperlink" Id="rId123" Target="https://www.supplychainbrain.com/blogs/1-think-tank/post/39390-five-trends-that-will-drive-supply-chain-success-in-2024" TargetMode="External" /><Relationship Type="http://schemas.openxmlformats.org/officeDocument/2006/relationships/hyperlink" Id="rId92" Target="https://www.supplychainbrain.com/blogs/1-think-tank/post/39525-red-sea-risk-matrix-a-model-for-managing-supply-chain-disruption" TargetMode="External" /><Relationship Type="http://schemas.openxmlformats.org/officeDocument/2006/relationships/hyperlink" Id="rId127" Target="https://www.supplychaindive.com/news/best-practices-for-logistics-managers-in-2025/743509/" TargetMode="External" /><Relationship Type="http://schemas.openxmlformats.org/officeDocument/2006/relationships/hyperlink" Id="rId112" Target="https://www.tracedataresearch.com/industry-report/vietnam-logistics-and-warehousing-market" TargetMode="External" /><Relationship Type="http://schemas.openxmlformats.org/officeDocument/2006/relationships/hyperlink" Id="rId31" Target="https://www.vietdata.vn/post/revenue-in-the-postal-and-express-delivery-sector-grew-9-3-which-big-players-are-flourishing-a?srsltid=AfmBOoqNplZR8DK2g1zkmOs-3BSskCote3yGUYRTdRdoRUys0qbJubFs" TargetMode="External" /><Relationship Type="http://schemas.openxmlformats.org/officeDocument/2006/relationships/hyperlink" Id="rId98" Target="https://www.workiva.com/blog/mastering-key-risk-indicators-kr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2025-07-09T07:23:43Z</dcterms:created>
  <dcterms:modified xsi:type="dcterms:W3CDTF">2025-07-09T07:23:43Z</dcterms:modified>
</cp:coreProperties>
</file>

<file path=docProps/custom.xml><?xml version="1.0" encoding="utf-8"?>
<Properties xmlns="http://schemas.openxmlformats.org/officeDocument/2006/custom-properties" xmlns:vt="http://schemas.openxmlformats.org/officeDocument/2006/docPropsVTypes"/>
</file>