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9A4AE0">
        <w:rPr>
          <w:rFonts w:ascii="Tahoma" w:hAnsi="Tahoma" w:cs="Tahoma"/>
          <w:b/>
          <w:color w:val="00AEF0"/>
        </w:rPr>
        <w:t>27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4836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4836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4836B0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836B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4836B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836B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836B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836B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836B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836B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836B0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836B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individual </w:t>
            </w:r>
            <w:r>
              <w:rPr>
                <w:rFonts w:cs="Times New Roman"/>
              </w:rPr>
              <w:t>composite assessment criteria</w:t>
            </w:r>
            <w:r>
              <w:rPr>
                <w:rFonts w:cs="Times New Roman"/>
              </w:rPr>
              <w:t>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</w:t>
            </w:r>
            <w:r>
              <w:rPr>
                <w:rFonts w:cs="Times New Roman"/>
              </w:rPr>
              <w:t>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</w:t>
            </w:r>
            <w:r>
              <w:rPr>
                <w:rFonts w:cs="Times New Roman"/>
              </w:rPr>
              <w:t xml:space="preserve"> failure </w:t>
            </w:r>
            <w:r>
              <w:rPr>
                <w:rFonts w:cs="Times New Roman"/>
              </w:rPr>
              <w:t>theory</w:t>
            </w:r>
            <w:r>
              <w:rPr>
                <w:rFonts w:cs="Times New Roman"/>
              </w:rPr>
              <w:t xml:space="preserve">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Allow </w:t>
            </w:r>
            <w:r>
              <w:rPr>
                <w:rFonts w:cs="Times New Roman"/>
              </w:rPr>
              <w:t>Hashin’s damage initiation criteria</w:t>
            </w:r>
            <w:r>
              <w:rPr>
                <w:rFonts w:cs="Times New Roman"/>
              </w:rPr>
              <w:t xml:space="preserve">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</w:t>
            </w:r>
            <w:r>
              <w:rPr>
                <w:rFonts w:cs="Times New Roman"/>
              </w:rPr>
              <w:t xml:space="preserve">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164E2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7CDD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C0BB1A5-BDBA-4394-A6EC-96DEDE4B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11232</Words>
  <Characters>64029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115</cp:revision>
  <cp:lastPrinted>2018-03-27T15:58:00Z</cp:lastPrinted>
  <dcterms:created xsi:type="dcterms:W3CDTF">2016-12-02T13:04:00Z</dcterms:created>
  <dcterms:modified xsi:type="dcterms:W3CDTF">2018-03-27T15:58:00Z</dcterms:modified>
</cp:coreProperties>
</file>