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FB897F" w14:textId="14D77244" w:rsidR="00D51BF0" w:rsidRPr="00EC020A" w:rsidRDefault="00711888" w:rsidP="009941ED">
      <w:pPr>
        <w:pStyle w:val="2"/>
        <w:rPr>
          <w:rFonts w:ascii="黑体" w:eastAsia="黑体" w:hAnsi="黑体"/>
          <w:b w:val="0"/>
        </w:rPr>
      </w:pPr>
      <w:r w:rsidRPr="00EC020A">
        <w:rPr>
          <w:rFonts w:ascii="黑体" w:eastAsia="黑体" w:hAnsi="黑体" w:hint="eastAsia"/>
          <w:b w:val="0"/>
        </w:rPr>
        <w:t>【A</w:t>
      </w:r>
      <w:r w:rsidR="003969EB">
        <w:rPr>
          <w:rFonts w:ascii="黑体" w:eastAsia="黑体" w:hAnsi="黑体" w:hint="eastAsia"/>
          <w:b w:val="0"/>
        </w:rPr>
        <w:t>18</w:t>
      </w:r>
      <w:bookmarkStart w:id="0" w:name="_GoBack"/>
      <w:bookmarkEnd w:id="0"/>
      <w:r w:rsidRPr="00EC020A">
        <w:rPr>
          <w:rFonts w:ascii="黑体" w:eastAsia="黑体" w:hAnsi="黑体" w:hint="eastAsia"/>
          <w:b w:val="0"/>
        </w:rPr>
        <w:t>】基于同花顺问财SkillHub的个性化证券投顾智能体系统设计【同花顺】</w:t>
      </w:r>
    </w:p>
    <w:p w14:paraId="1001C370" w14:textId="77777777" w:rsidR="00D51BF0" w:rsidRDefault="00711888">
      <w:pPr>
        <w:spacing w:afterLines="50" w:after="156" w:line="360" w:lineRule="exact"/>
        <w:rPr>
          <w:rFonts w:ascii="仿宋" w:eastAsia="仿宋" w:hAnsi="仿宋"/>
          <w:b/>
          <w:sz w:val="24"/>
        </w:rPr>
      </w:pPr>
      <w:r>
        <w:rPr>
          <w:rFonts w:ascii="仿宋" w:eastAsia="仿宋" w:hAnsi="仿宋" w:hint="eastAsia"/>
          <w:b/>
          <w:sz w:val="24"/>
        </w:rPr>
        <w:t>1.命题方向</w:t>
      </w:r>
    </w:p>
    <w:p w14:paraId="3BAE7616" w14:textId="77777777" w:rsidR="00D51BF0" w:rsidRDefault="00711888">
      <w:pPr>
        <w:spacing w:afterLines="50" w:after="156" w:line="360" w:lineRule="exact"/>
        <w:ind w:firstLineChars="200" w:firstLine="480"/>
        <w:rPr>
          <w:rFonts w:ascii="仿宋" w:eastAsia="楷体" w:hAnsi="仿宋"/>
          <w:sz w:val="24"/>
        </w:rPr>
      </w:pPr>
      <w:r>
        <w:rPr>
          <w:rFonts w:ascii="楷体" w:eastAsia="楷体" w:hAnsi="楷体" w:hint="eastAsia"/>
          <w:sz w:val="24"/>
        </w:rPr>
        <w:t>人工智能</w:t>
      </w:r>
    </w:p>
    <w:p w14:paraId="0B4CE5F9" w14:textId="77777777" w:rsidR="00D51BF0" w:rsidRDefault="00711888">
      <w:pPr>
        <w:spacing w:afterLines="50" w:after="156" w:line="360" w:lineRule="exact"/>
        <w:rPr>
          <w:rFonts w:ascii="仿宋" w:eastAsia="仿宋" w:hAnsi="仿宋"/>
          <w:b/>
          <w:sz w:val="24"/>
        </w:rPr>
      </w:pPr>
      <w:r>
        <w:rPr>
          <w:rFonts w:ascii="仿宋" w:eastAsia="仿宋" w:hAnsi="仿宋" w:hint="eastAsia"/>
          <w:b/>
          <w:sz w:val="24"/>
        </w:rPr>
        <w:t>2.题目类别</w:t>
      </w:r>
    </w:p>
    <w:p w14:paraId="6717EADF"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智能体</w:t>
      </w:r>
    </w:p>
    <w:p w14:paraId="4A0E035D" w14:textId="77777777" w:rsidR="00D51BF0" w:rsidRDefault="00711888">
      <w:pPr>
        <w:spacing w:afterLines="50" w:after="156" w:line="360" w:lineRule="exact"/>
        <w:rPr>
          <w:rFonts w:ascii="仿宋" w:eastAsia="仿宋" w:hAnsi="仿宋"/>
          <w:b/>
          <w:sz w:val="24"/>
        </w:rPr>
      </w:pPr>
      <w:r>
        <w:rPr>
          <w:rFonts w:ascii="仿宋" w:eastAsia="仿宋" w:hAnsi="仿宋" w:hint="eastAsia"/>
          <w:b/>
          <w:sz w:val="24"/>
        </w:rPr>
        <w:t>3.题目名称</w:t>
      </w:r>
    </w:p>
    <w:p w14:paraId="52103063"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基于同花顺问财SkillHub的个性化证券投顾智能体系统设计</w:t>
      </w:r>
    </w:p>
    <w:p w14:paraId="56204DBA" w14:textId="77777777" w:rsidR="00D51BF0" w:rsidRDefault="00711888">
      <w:pPr>
        <w:spacing w:afterLines="50" w:after="156" w:line="360" w:lineRule="exact"/>
        <w:rPr>
          <w:rFonts w:ascii="仿宋" w:eastAsia="仿宋" w:hAnsi="仿宋"/>
          <w:b/>
          <w:sz w:val="24"/>
        </w:rPr>
      </w:pPr>
      <w:r>
        <w:rPr>
          <w:rFonts w:ascii="仿宋" w:eastAsia="仿宋" w:hAnsi="仿宋" w:hint="eastAsia"/>
          <w:b/>
          <w:sz w:val="24"/>
        </w:rPr>
        <w:t>4.背景说明</w:t>
      </w:r>
    </w:p>
    <w:p w14:paraId="4301D665"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【整体背景】</w:t>
      </w:r>
    </w:p>
    <w:p w14:paraId="48584A08"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随着人工智能技术与金融行业的深度融合，智能化投研与投顾服务正成为证券行业转型升级的核心方向。大语言模型（LLM）在自然语言处理、多轮对话推理、复杂问题拆解等方面的突破，为证券投顾业务带来了从“工具辅助”向“智能协作”演进的机遇。</w:t>
      </w:r>
    </w:p>
    <w:p w14:paraId="6AC5D3E1"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在传统证券投顾模式中，投资顾问主要依赖自身经验与静态研报为客户提供建议，存在服务半径有限、个性化程度不足、响应效率低等痛点。而在生成式AI技术的赋能下，智能投顾系统能够实现语义理解→信息检索→策略生成→持续学习的完整闭环，显著提升投顾服务的规模化能力与个性化水平。</w:t>
      </w:r>
    </w:p>
    <w:p w14:paraId="2B322A96"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同花顺问财作为国内首个将大模型技术应用于投资领域的智能投顾产品，基于自研的HithinkGPT金融大模型，通过多智能体协作机制，将原本分散在数据查询、选股分析、研判解读等环节的能力进行统一整合，为投资者提供覆盖A股、基金、ETF、港股、美股、债券、宏观等多领域的智能化投顾服务。这一实践表明，AIAgent（智能体）技术正在重塑证券投顾的业务模式与服务形态。</w:t>
      </w:r>
    </w:p>
    <w:p w14:paraId="6F2AE5C1"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基于同花顺问财SkillHub构建个性化证券投顾智能体系统，旨在利用其开放的智能体编排框架与丰富的金融数据API，实现多维度信息的智能整合、个性化投资建议的生成，以及投顾服务的全流程自动化。这既是金融科技赋能证券行业的重要体现，也是AI技术在投顾场景落地的有益探索。</w:t>
      </w:r>
    </w:p>
    <w:p w14:paraId="2CC5B92E"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【公司背景】</w:t>
      </w:r>
    </w:p>
    <w:p w14:paraId="21C2877F"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同花顺（300033.SZ）是国内领先的互联网金融信息服务提供商，成立于2001年，2009年于创业板上市。公司以“用科技让投资更简单”为使命，历经二十</w:t>
      </w:r>
      <w:r>
        <w:rPr>
          <w:rFonts w:ascii="仿宋" w:eastAsia="仿宋" w:hAnsi="仿宋" w:hint="eastAsia"/>
          <w:sz w:val="24"/>
        </w:rPr>
        <w:lastRenderedPageBreak/>
        <w:t>余年发展，已从单一的证券行情软件提供商，成长为覆盖C端个人投资者与B端机构客户的全产业链金融科技平台。</w:t>
      </w:r>
    </w:p>
    <w:p w14:paraId="55AD2C73"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市场地位方面，同花顺在C端证券服务领域占据绝对领先优势。根据易观千帆数据，2025年同花顺APP平均月活跃用户达3549.91万人，稳居证券类APP首位，远超竞争对手东方财富（1742.77万）和大智慧（1209.55万），占据行业近20%市场份额。公司服务覆盖国内90%以上的证券公司，在个人投资者市场份额长期保持领先地位，形成了“一超两强”的行业竞争格局。</w:t>
      </w:r>
    </w:p>
    <w:p w14:paraId="06D1F1C1"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AI战略布局方面，同花顺于2019年率先提出"ALLINAI"战略，2024年初推出自研金融垂类大模型问财HithinkGPT，并于2025年完成问财2.0重磅升级，注入“慢思考”智慧能力。该模型在通用领域和金融领域的表现均优于开源模型，是业内首家通过网信办备案的金融对话大模型。公司还推出同创智能体平台，以低代码方式帮助机构客户高效落地AI能力。</w:t>
      </w:r>
    </w:p>
    <w:p w14:paraId="0E38513D"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【业务背景】</w:t>
      </w:r>
    </w:p>
    <w:p w14:paraId="37BE8CCF"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证券投顾行业正处于快速增长期。根据中证协披露数据，2025年150家证券公司实现投资咨询业务净收入76.94亿元，同比增长41.36%，营收贡献率从2024年的1.21%提升至1.42%。截至2026年2月，证券投资顾问人数已突破8.78万人，距离9万人大关仅一步之遥，5年间增长近3万人。</w:t>
      </w:r>
    </w:p>
    <w:p w14:paraId="75591B86"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从“卖方代销”向“买方投顾”转型成为行业共识。传统以产品销售为导向的模式正加速向以资产配置、持仓复盘、市场解读为核心的买方服务模式演进。多家券商明确将金融产品保有规模、投资者盈利占比等指标作为核心考核点。</w:t>
      </w:r>
    </w:p>
    <w:p w14:paraId="18985E77"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iFinD作为同花顺面向机构客户提供研究、投资决策服务的核心产品，通过机器学习、自然语言处理、知识图谱等AI技术，对全网数据、资讯事件、观点逻辑进行自动化处理和分析。平台覆盖4000多家机构每天更新的2000多篇研究报告，企业智库涵盖3亿+家企业、4000+企业标签、300+数据维度，为智能投顾提供了坚实的数据基础。</w:t>
      </w:r>
    </w:p>
    <w:p w14:paraId="4BC33B5A"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基于同花顺问财SkillHub构建个性化证券投顾智能体系统，是顺应AI赋能投顾趋势的务实选择。通过整合问财的金融语义理解能力、iFinD的海量数据资源，以及SkillHub的智能体编排框架，可构建具备个性化、智能化、流程化特征的投顾服务新范式，助力券商和投资者在复杂市场环境中做出更理性的投资决策。</w:t>
      </w:r>
    </w:p>
    <w:p w14:paraId="36DCC236" w14:textId="77777777" w:rsidR="00D51BF0" w:rsidRDefault="00711888">
      <w:pPr>
        <w:spacing w:afterLines="50" w:after="156" w:line="360" w:lineRule="exact"/>
        <w:rPr>
          <w:rFonts w:ascii="仿宋" w:eastAsia="仿宋" w:hAnsi="仿宋"/>
          <w:b/>
          <w:sz w:val="24"/>
        </w:rPr>
      </w:pPr>
      <w:r>
        <w:rPr>
          <w:rFonts w:ascii="仿宋" w:eastAsia="仿宋" w:hAnsi="仿宋" w:hint="eastAsia"/>
          <w:b/>
          <w:sz w:val="24"/>
        </w:rPr>
        <w:t>5.项目说明</w:t>
      </w:r>
    </w:p>
    <w:p w14:paraId="4D0C0B51"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【问题说明】</w:t>
      </w:r>
    </w:p>
    <w:p w14:paraId="741F2E92"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（1）用户画像与风险偏好建模问题</w:t>
      </w:r>
    </w:p>
    <w:p w14:paraId="4854CA70"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如何基于用户的投资历史、资产状况、风险偏好、预期收益率等多元信息，</w:t>
      </w:r>
      <w:r>
        <w:rPr>
          <w:rFonts w:ascii="仿宋" w:eastAsia="仿宋" w:hAnsi="仿宋" w:hint="eastAsia"/>
          <w:sz w:val="24"/>
        </w:rPr>
        <w:lastRenderedPageBreak/>
        <w:t>构建精准的用户画像模型，并将其转化为可量化、可追踪的投资偏好参数，是实现个性化投顾服务的首要挑战。用户的风险承受能力、投资目标、持仓习惯、收益预期等信息往往分散在不同数据源中，且存在信息不对称与表达模糊性，如何通过大语言模型进行语义理解和信息抽取，生成准确的用户风险画像，并据此匹配适合的投资策略，是系统设计的核心挑战之一。</w:t>
      </w:r>
    </w:p>
    <w:p w14:paraId="3C93C360"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（2）多投顾场景与多智能体协同决策问题</w:t>
      </w:r>
    </w:p>
    <w:p w14:paraId="0C22FF85"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证券投顾服务涉及大盘研判、行业/概念追踪、个股分析、ETF基金配置、可转债投资等多种业务场景，各场景的分析逻辑、数据来源、决策框架存在显著差异。如何基于同花顺问财SkillHub构建多智能体协同架构，实现宏观研究智能体、行业分析智能体、个股精选智能体、基金配置智能体等不同专长智能体的有机协作，在统一的投顾决策框架下保持分析的一致性与有效性，对多智能体协同决策提出了较高要求。如何设计合理的任务分解与结果聚合机制，实现“1+N”的投顾智能体体系（即1个主协调智能体+N个专业领域智能体），是系统架构的关键挑战。</w:t>
      </w:r>
    </w:p>
    <w:p w14:paraId="52C121BD"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（3）数据实时性、准确性与幻觉控制问题</w:t>
      </w:r>
    </w:p>
    <w:p w14:paraId="69891275"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证券投资对数据的实时性和准确性要求极高。市场行情、财务数据、政策信息、舆情动态等信息瞬息万变，投资建议的时效性直接影响其价值。同时，大语言模型存在产生“幻觉”（即生成看似合理但实际错误或虚假信息）的固有特性，在投资建议生成场景中可能编造不存在的财务数据、错误的估值指标或虚假的市场信息。如何确保智能体引用的数据来源可靠、实时更新，如何建立幻觉检测与纠正机制，对数据质量控制和模型输出校验提出了严格要求，是投顾智能体落地的关键工程问题。</w:t>
      </w:r>
    </w:p>
    <w:p w14:paraId="49B0379C"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（4）系统稳定性与高并发处理问题</w:t>
      </w:r>
    </w:p>
    <w:p w14:paraId="5948D3FA"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证券投顾服务面向海量投资者，需要在高并发场景下保持稳定的响应能力和服务质量。不同用户可能同时咨询大盘走势、个股分析、交易策略等不同问题，系统需要具备高效的任务调度和负载均衡能力，确保各智能体在高并发请求下的稳定运行。同时，市场剧烈波动时可能出现短时间内大量用户同时访问的极端情况，系统需要具备一定的容错降级机制，保证核心投顾服务的可用性与连续性。此外，如何在追求响应速度的同时兼顾投资建议的质量与合规性，是系统设计中需要权衡的重要问题。</w:t>
      </w:r>
    </w:p>
    <w:p w14:paraId="4F54F4DF"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【用户期望】</w:t>
      </w:r>
    </w:p>
    <w:p w14:paraId="4EBE30D9" w14:textId="77777777" w:rsidR="00D51BF0" w:rsidRDefault="00711888">
      <w:pPr>
        <w:spacing w:afterLines="50" w:after="156" w:line="360" w:lineRule="exact"/>
        <w:ind w:firstLine="420"/>
        <w:rPr>
          <w:rFonts w:ascii="仿宋" w:eastAsia="仿宋" w:hAnsi="仿宋"/>
          <w:sz w:val="24"/>
        </w:rPr>
      </w:pPr>
      <w:r>
        <w:rPr>
          <w:rFonts w:ascii="仿宋" w:eastAsia="仿宋" w:hAnsi="仿宋" w:hint="eastAsia"/>
          <w:sz w:val="24"/>
        </w:rPr>
        <w:t>面向证券投顾智能化升级领域，我们期望参赛团队能够基于同花顺问财SkillHub和第三方大模型，构建一个兼具工程完整性、智能化水平与实用价值的个性化证券投顾智能体系统。该系统应具备以下核心特征：</w:t>
      </w:r>
    </w:p>
    <w:p w14:paraId="209CBC9E" w14:textId="77777777" w:rsidR="00D51BF0" w:rsidRDefault="00711888">
      <w:pPr>
        <w:numPr>
          <w:ilvl w:val="0"/>
          <w:numId w:val="1"/>
        </w:numPr>
        <w:spacing w:afterLines="50" w:after="156" w:line="360" w:lineRule="exact"/>
        <w:rPr>
          <w:rFonts w:ascii="仿宋" w:eastAsia="仿宋" w:hAnsi="仿宋"/>
          <w:sz w:val="24"/>
        </w:rPr>
      </w:pPr>
      <w:r>
        <w:rPr>
          <w:rFonts w:ascii="仿宋" w:eastAsia="仿宋" w:hAnsi="仿宋" w:hint="eastAsia"/>
          <w:sz w:val="24"/>
        </w:rPr>
        <w:lastRenderedPageBreak/>
        <w:t>个性化适配能力：系统应能够通过自然语言交互、问卷评估、历史持仓分析等多渠道理解用户的风险偏好、收益预期、投资期限等个性化需求，构建精准的用户画像，并据此生成匹配度更高的定制化投资建议与资产配置方案，而非泛泛的通用性投资指南。</w:t>
      </w:r>
    </w:p>
    <w:p w14:paraId="60B1DF74" w14:textId="77777777" w:rsidR="00D51BF0" w:rsidRDefault="00711888">
      <w:pPr>
        <w:numPr>
          <w:ilvl w:val="0"/>
          <w:numId w:val="1"/>
        </w:numPr>
        <w:spacing w:afterLines="50" w:after="156" w:line="360" w:lineRule="exact"/>
        <w:rPr>
          <w:rFonts w:ascii="仿宋" w:eastAsia="仿宋" w:hAnsi="仿宋"/>
          <w:sz w:val="24"/>
        </w:rPr>
      </w:pPr>
      <w:r>
        <w:rPr>
          <w:rFonts w:ascii="仿宋" w:eastAsia="仿宋" w:hAnsi="仿宋" w:hint="eastAsia"/>
          <w:sz w:val="24"/>
        </w:rPr>
        <w:t>全场景覆盖能力：系统应能够支持大盘研判、行业配置、个股分析、ETF基金筛选、可转债投资、资产组合优化等多种投顾业务场景，通过多智能体协同机制为用户提供一站式、全方位的投资决策支持服务。</w:t>
      </w:r>
    </w:p>
    <w:p w14:paraId="0A13E5E0" w14:textId="77777777" w:rsidR="00D51BF0" w:rsidRDefault="00711888">
      <w:pPr>
        <w:numPr>
          <w:ilvl w:val="0"/>
          <w:numId w:val="1"/>
        </w:numPr>
        <w:spacing w:afterLines="50" w:after="156" w:line="360" w:lineRule="exact"/>
        <w:rPr>
          <w:rFonts w:ascii="仿宋" w:eastAsia="仿宋" w:hAnsi="仿宋"/>
          <w:sz w:val="24"/>
        </w:rPr>
      </w:pPr>
      <w:r>
        <w:rPr>
          <w:rFonts w:ascii="仿宋" w:eastAsia="仿宋" w:hAnsi="仿宋" w:hint="eastAsia"/>
          <w:sz w:val="24"/>
        </w:rPr>
        <w:t>高并发稳定能力：系统应具备支撑100人规模用户同时在线咨询的服务能力，在高并发场景下保持稳定响应，支持多用户并发调用各专业智能体，确保投顾服务的可用性与用户体验。</w:t>
      </w:r>
    </w:p>
    <w:p w14:paraId="215DCCB5" w14:textId="77777777" w:rsidR="00D51BF0" w:rsidRDefault="00711888">
      <w:pPr>
        <w:numPr>
          <w:ilvl w:val="0"/>
          <w:numId w:val="1"/>
        </w:numPr>
        <w:spacing w:afterLines="50" w:after="156" w:line="360" w:lineRule="exact"/>
        <w:rPr>
          <w:rFonts w:ascii="仿宋" w:eastAsia="仿宋" w:hAnsi="仿宋"/>
          <w:sz w:val="24"/>
        </w:rPr>
      </w:pPr>
      <w:r>
        <w:rPr>
          <w:rFonts w:ascii="仿宋" w:eastAsia="仿宋" w:hAnsi="仿宋" w:hint="eastAsia"/>
          <w:sz w:val="24"/>
        </w:rPr>
        <w:t>可解释透明度：系统生成的投资建议应具备清晰的逻辑链条与可解释性，援引可靠的数据来源，揭示潜在风险因素，让用户能够理解建议背后的分析依据，而非黑箱式的结论输出。</w:t>
      </w:r>
    </w:p>
    <w:p w14:paraId="10B03767" w14:textId="77777777" w:rsidR="00D51BF0" w:rsidRDefault="00711888">
      <w:pPr>
        <w:numPr>
          <w:ilvl w:val="0"/>
          <w:numId w:val="1"/>
        </w:numPr>
        <w:spacing w:afterLines="50" w:after="156" w:line="360" w:lineRule="exact"/>
        <w:rPr>
          <w:rFonts w:ascii="仿宋" w:eastAsia="仿宋" w:hAnsi="仿宋"/>
          <w:sz w:val="24"/>
        </w:rPr>
      </w:pPr>
      <w:r>
        <w:rPr>
          <w:rFonts w:ascii="仿宋" w:eastAsia="仿宋" w:hAnsi="仿宋" w:hint="eastAsia"/>
          <w:sz w:val="24"/>
        </w:rPr>
        <w:t>合规安全保障：系统应内置完善的风控机制与合规审核流程，确保输出的投资建议符合证券监管要求，充分进行风险提示，保护投资者合法权益。</w:t>
      </w:r>
    </w:p>
    <w:p w14:paraId="029A05B2"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6.任务要求</w:t>
      </w:r>
    </w:p>
    <w:p w14:paraId="66ADD33F"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【开发说明】</w:t>
      </w:r>
    </w:p>
    <w:p w14:paraId="742E7491" w14:textId="77777777" w:rsidR="00D51BF0" w:rsidRDefault="00711888">
      <w:pPr>
        <w:spacing w:afterLines="50" w:after="156" w:line="360" w:lineRule="exact"/>
        <w:ind w:firstLine="420"/>
        <w:rPr>
          <w:rFonts w:ascii="仿宋" w:eastAsia="仿宋" w:hAnsi="仿宋"/>
          <w:b/>
          <w:sz w:val="24"/>
        </w:rPr>
      </w:pPr>
      <w:r>
        <w:rPr>
          <w:rFonts w:ascii="仿宋" w:eastAsia="仿宋" w:hAnsi="仿宋" w:hint="eastAsia"/>
          <w:sz w:val="24"/>
        </w:rPr>
        <w:t>本命题要求参赛团队围绕"个性化证券投顾智能体系统"场景，基于同花顺问财SkillHub与第三方大模型，构建一套由大模型统一调度、多智能体协同服务的投顾决策系统</w:t>
      </w:r>
    </w:p>
    <w:p w14:paraId="5E583730"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【技术要求与指标】</w:t>
      </w:r>
    </w:p>
    <w:p w14:paraId="6DC437A4"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（一）大模型认知与投资分析能力</w:t>
      </w:r>
    </w:p>
    <w:p w14:paraId="55EBC51E"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基于第三方大模型完成投资主题分析与研判；</w:t>
      </w:r>
    </w:p>
    <w:p w14:paraId="260A4EC7"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自动生成市场解读、行业追踪、个股推荐等投顾内容；</w:t>
      </w:r>
    </w:p>
    <w:p w14:paraId="01350E19"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支持投资逻辑的可解释性输出与风险提示。</w:t>
      </w:r>
    </w:p>
    <w:p w14:paraId="17489C70"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（二）多智能体协同决策</w:t>
      </w:r>
    </w:p>
    <w:p w14:paraId="1DBB6803"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支持宏观研究、行业分析、个股研究、基金配置等多智能体协同；</w:t>
      </w:r>
    </w:p>
    <w:p w14:paraId="66A9D221"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支持投资建议的交叉验证与一致性校验；</w:t>
      </w:r>
    </w:p>
    <w:p w14:paraId="35010D55"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支持多任务并发处理与结果聚合。</w:t>
      </w:r>
    </w:p>
    <w:p w14:paraId="657A99E1"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（三）数据实时性与准确性保障</w:t>
      </w:r>
    </w:p>
    <w:p w14:paraId="2717FB6D"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lastRenderedPageBreak/>
        <w:t>支持实时行情数据、财经新闻、研究报告等多源信息接入；</w:t>
      </w:r>
    </w:p>
    <w:p w14:paraId="416D8C48"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建立数据溯源与幻觉检测机制，确保投资建议有据可查；</w:t>
      </w:r>
    </w:p>
    <w:p w14:paraId="1A2F0D0B"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保证核心数据的延迟控制在秒级范围内。</w:t>
      </w:r>
    </w:p>
    <w:p w14:paraId="4405E2E7"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（四）系统稳定性与高并发处理</w:t>
      </w:r>
    </w:p>
    <w:p w14:paraId="2000D26C"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支持不少于100用户同时在线并发咨询；</w:t>
      </w:r>
    </w:p>
    <w:p w14:paraId="789699C2"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单次投顾响应时间不超过3秒；</w:t>
      </w:r>
    </w:p>
    <w:p w14:paraId="308CF7DC"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系统可用性达到99.9%以上。</w:t>
      </w:r>
    </w:p>
    <w:p w14:paraId="662519EE"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（五）可视化与交互体验</w:t>
      </w:r>
    </w:p>
    <w:p w14:paraId="3914A3DE"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提供投资分析过程与结论的可视化展示界面；</w:t>
      </w:r>
    </w:p>
    <w:p w14:paraId="37DD5089"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支持多轮对话、追问澄清、上下文记忆等交互功能；</w:t>
      </w:r>
    </w:p>
    <w:p w14:paraId="761DBE74"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鼓励展示智能体协作过程与投资逻辑推导的可解释性。</w:t>
      </w:r>
    </w:p>
    <w:p w14:paraId="50FD92F6"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【提交材料】</w:t>
      </w:r>
    </w:p>
    <w:p w14:paraId="50A67AAE"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1.项目概要介绍；</w:t>
      </w:r>
    </w:p>
    <w:p w14:paraId="3BA1DE57"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2.项目简介PPT；</w:t>
      </w:r>
    </w:p>
    <w:p w14:paraId="22AA8042"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3.项目详细方案；</w:t>
      </w:r>
    </w:p>
    <w:p w14:paraId="0D31C45A"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4.项目演示视频；</w:t>
      </w:r>
    </w:p>
    <w:p w14:paraId="5572972A"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5.企业要求提交的材料：</w:t>
      </w:r>
    </w:p>
    <w:p w14:paraId="32BFAB94"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产品使用说明文档（系统架构与流程说明）；</w:t>
      </w:r>
    </w:p>
    <w:p w14:paraId="2A9B2371"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系统测试报告；</w:t>
      </w:r>
    </w:p>
    <w:p w14:paraId="027FCED1"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项目分工、开发过程与训练记录文档；</w:t>
      </w:r>
    </w:p>
    <w:p w14:paraId="6512414D"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6.团队自愿提交的其他补充材料。</w:t>
      </w:r>
    </w:p>
    <w:p w14:paraId="4E8D73E2"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【任务清单】</w:t>
      </w:r>
    </w:p>
    <w:p w14:paraId="17D56DB2"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包括但不限于以下功能：</w:t>
      </w:r>
    </w:p>
    <w:p w14:paraId="7A6BFC24"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（1）用户画像与风险偏好分析</w:t>
      </w:r>
    </w:p>
    <w:p w14:paraId="6CABF900"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基于用户输入、问卷评估、持仓历史等信息构建用户画像模型；</w:t>
      </w:r>
    </w:p>
    <w:p w14:paraId="2C5AE7E2"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自动完成风险偏好识别、收益预期分析、投资期限规划；</w:t>
      </w:r>
    </w:p>
    <w:p w14:paraId="4F75B4B5"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生成可视化的用户风险画像报告。</w:t>
      </w:r>
    </w:p>
    <w:p w14:paraId="046A4E8A"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lastRenderedPageBreak/>
        <w:t>（2）多场景投顾分析与建议生成</w:t>
      </w:r>
    </w:p>
    <w:p w14:paraId="13F1CEB9"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支持大盘研判、行业配置、个股分析、ETF基金筛选、可转债投资等多种业务场景；</w:t>
      </w:r>
    </w:p>
    <w:p w14:paraId="18428D1A"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从海量财经数据中提取关键信息，生成结构化投资分析报告；</w:t>
      </w:r>
    </w:p>
    <w:p w14:paraId="36297648"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结合用户画像生成个性化投资建议与资产配置方案。</w:t>
      </w:r>
    </w:p>
    <w:p w14:paraId="5D158F50"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（3）多智能体协同决策</w:t>
      </w:r>
    </w:p>
    <w:p w14:paraId="67D5D1DC"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实现宏观研究、行业追踪、个股精选、基金配置等专业智能体的协同工作；</w:t>
      </w:r>
    </w:p>
    <w:p w14:paraId="02D8632B"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支持投资逻辑的交叉验证与分歧处理机制；</w:t>
      </w:r>
    </w:p>
    <w:p w14:paraId="7319167E"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支持多智能体投票决策或主协调智能体汇总决策模式。</w:t>
      </w:r>
    </w:p>
    <w:p w14:paraId="65C353C7" w14:textId="77777777" w:rsidR="00D51BF0" w:rsidRDefault="00711888">
      <w:pPr>
        <w:spacing w:afterLines="50" w:after="156" w:line="360" w:lineRule="exact"/>
        <w:ind w:firstLineChars="200" w:firstLine="480"/>
        <w:rPr>
          <w:rFonts w:ascii="仿宋" w:eastAsia="仿宋" w:hAnsi="仿宋"/>
          <w:bCs/>
          <w:sz w:val="24"/>
        </w:rPr>
      </w:pPr>
      <w:r>
        <w:rPr>
          <w:rFonts w:ascii="仿宋" w:eastAsia="仿宋" w:hAnsi="仿宋" w:hint="eastAsia"/>
          <w:bCs/>
          <w:sz w:val="24"/>
        </w:rPr>
        <w:t>（4）投资建议可视化与解释系统</w:t>
      </w:r>
    </w:p>
    <w:p w14:paraId="044D0D2B"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提供投资分析过程与结论的可视化面板；</w:t>
      </w:r>
    </w:p>
    <w:p w14:paraId="6A05D967"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支持投资逻辑链的逐级展开与数据溯源；</w:t>
      </w:r>
    </w:p>
    <w:p w14:paraId="4EFC9023" w14:textId="77777777" w:rsidR="00D51BF0" w:rsidRDefault="00711888">
      <w:pPr>
        <w:numPr>
          <w:ilvl w:val="0"/>
          <w:numId w:val="2"/>
        </w:numPr>
        <w:spacing w:afterLines="50" w:after="156" w:line="360" w:lineRule="exact"/>
        <w:rPr>
          <w:rFonts w:ascii="仿宋" w:eastAsia="仿宋" w:hAnsi="仿宋"/>
          <w:bCs/>
          <w:sz w:val="24"/>
        </w:rPr>
      </w:pPr>
      <w:r>
        <w:rPr>
          <w:rFonts w:ascii="仿宋" w:eastAsia="仿宋" w:hAnsi="仿宋" w:hint="eastAsia"/>
          <w:bCs/>
          <w:sz w:val="24"/>
        </w:rPr>
        <w:t>包含风险提示、收益预期、仓位建议等核心信息的清晰展示。</w:t>
      </w:r>
    </w:p>
    <w:p w14:paraId="7D0C0573"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【开发工具与数据接口】</w:t>
      </w:r>
    </w:p>
    <w:p w14:paraId="0835D13C" w14:textId="77777777" w:rsidR="00D51BF0" w:rsidRDefault="00711888">
      <w:pPr>
        <w:spacing w:afterLines="50" w:after="156" w:line="360" w:lineRule="exact"/>
        <w:ind w:firstLineChars="200" w:firstLine="480"/>
        <w:rPr>
          <w:rFonts w:ascii="仿宋" w:eastAsia="仿宋" w:hAnsi="仿宋"/>
          <w:sz w:val="24"/>
        </w:rPr>
      </w:pPr>
      <w:r>
        <w:rPr>
          <w:rFonts w:ascii="仿宋" w:eastAsia="仿宋" w:hAnsi="仿宋" w:hint="eastAsia"/>
          <w:sz w:val="24"/>
        </w:rPr>
        <w:t>同花顺问财skillhub:https://www.iwencai.com/unifiedwap/skillhub</w:t>
      </w:r>
    </w:p>
    <w:p w14:paraId="2D9502DC" w14:textId="77777777" w:rsidR="00D51BF0" w:rsidRDefault="00711888">
      <w:pPr>
        <w:spacing w:afterLines="50" w:after="156" w:line="360" w:lineRule="exact"/>
        <w:ind w:firstLineChars="200" w:firstLine="482"/>
        <w:rPr>
          <w:rFonts w:ascii="仿宋" w:eastAsia="仿宋" w:hAnsi="仿宋"/>
          <w:b/>
          <w:sz w:val="24"/>
        </w:rPr>
      </w:pPr>
      <w:r>
        <w:rPr>
          <w:rFonts w:ascii="仿宋" w:eastAsia="仿宋" w:hAnsi="仿宋" w:hint="eastAsia"/>
          <w:b/>
          <w:sz w:val="24"/>
        </w:rPr>
        <w:t>7.评分要点</w:t>
      </w:r>
    </w:p>
    <w:p w14:paraId="26B6C838" w14:textId="59CC6587" w:rsidR="00D51BF0" w:rsidRDefault="00711888">
      <w:pPr>
        <w:widowControl/>
        <w:spacing w:line="360" w:lineRule="auto"/>
        <w:ind w:firstLine="420"/>
        <w:jc w:val="left"/>
      </w:pPr>
      <w:r>
        <w:rPr>
          <w:rFonts w:ascii="仿宋" w:eastAsia="仿宋" w:hAnsi="仿宋" w:hint="eastAsia"/>
          <w:sz w:val="24"/>
        </w:rPr>
        <w:t>赛题评分要点见附件一：A类企业命题初赛统一评分标准。</w:t>
      </w:r>
    </w:p>
    <w:sectPr w:rsidR="00D51B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B7E226B" w14:textId="77777777" w:rsidR="00781136" w:rsidRDefault="00781136" w:rsidP="003969EB">
      <w:r>
        <w:separator/>
      </w:r>
    </w:p>
  </w:endnote>
  <w:endnote w:type="continuationSeparator" w:id="0">
    <w:p w14:paraId="01D35E1A" w14:textId="77777777" w:rsidR="00781136" w:rsidRDefault="00781136" w:rsidP="003969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B8153F" w14:textId="77777777" w:rsidR="00781136" w:rsidRDefault="00781136" w:rsidP="003969EB">
      <w:r>
        <w:separator/>
      </w:r>
    </w:p>
  </w:footnote>
  <w:footnote w:type="continuationSeparator" w:id="0">
    <w:p w14:paraId="2584C99C" w14:textId="77777777" w:rsidR="00781136" w:rsidRDefault="00781136" w:rsidP="003969E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1BD22E8"/>
    <w:multiLevelType w:val="singleLevel"/>
    <w:tmpl w:val="F1BD22E8"/>
    <w:lvl w:ilvl="0">
      <w:start w:val="1"/>
      <w:numFmt w:val="decimal"/>
      <w:lvlText w:val="%1."/>
      <w:lvlJc w:val="left"/>
      <w:pPr>
        <w:ind w:left="425" w:hanging="425"/>
      </w:pPr>
      <w:rPr>
        <w:rFonts w:hint="default"/>
      </w:rPr>
    </w:lvl>
  </w:abstractNum>
  <w:abstractNum w:abstractNumId="1" w15:restartNumberingAfterBreak="0">
    <w:nsid w:val="F7320632"/>
    <w:multiLevelType w:val="singleLevel"/>
    <w:tmpl w:val="F7320632"/>
    <w:lvl w:ilvl="0">
      <w:start w:val="1"/>
      <w:numFmt w:val="bullet"/>
      <w:lvlText w:val=""/>
      <w:lvlJc w:val="left"/>
      <w:pPr>
        <w:tabs>
          <w:tab w:val="left" w:pos="420"/>
        </w:tabs>
        <w:ind w:left="84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9F3E22"/>
    <w:rsid w:val="003969EB"/>
    <w:rsid w:val="00711888"/>
    <w:rsid w:val="00781136"/>
    <w:rsid w:val="009941ED"/>
    <w:rsid w:val="00D51BF0"/>
    <w:rsid w:val="00EC020A"/>
    <w:rsid w:val="43A85162"/>
    <w:rsid w:val="4CE94821"/>
    <w:rsid w:val="4F730D1A"/>
    <w:rsid w:val="55320D2F"/>
    <w:rsid w:val="559F3E22"/>
    <w:rsid w:val="64A82DBC"/>
    <w:rsid w:val="74DD0860"/>
    <w:rsid w:val="7A4078C7"/>
    <w:rsid w:val="7CAF7C9B"/>
    <w:rsid w:val="7DA41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16CF51DA-BDB2-4CAF-809D-11C5E6F8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2">
    <w:name w:val="heading 2"/>
    <w:basedOn w:val="a"/>
    <w:next w:val="a"/>
    <w:link w:val="20"/>
    <w:unhideWhenUsed/>
    <w:qFormat/>
    <w:rsid w:val="009941ED"/>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rsid w:val="009941ED"/>
    <w:rPr>
      <w:rFonts w:asciiTheme="majorHAnsi" w:eastAsiaTheme="majorEastAsia" w:hAnsiTheme="majorHAnsi" w:cstheme="majorBidi"/>
      <w:b/>
      <w:bCs/>
      <w:kern w:val="2"/>
      <w:sz w:val="32"/>
      <w:szCs w:val="32"/>
    </w:rPr>
  </w:style>
  <w:style w:type="paragraph" w:styleId="a4">
    <w:name w:val="header"/>
    <w:basedOn w:val="a"/>
    <w:link w:val="a5"/>
    <w:rsid w:val="003969EB"/>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3969EB"/>
    <w:rPr>
      <w:rFonts w:ascii="Times New Roman" w:eastAsia="宋体" w:hAnsi="Times New Roman" w:cs="Times New Roman"/>
      <w:kern w:val="2"/>
      <w:sz w:val="18"/>
      <w:szCs w:val="18"/>
    </w:rPr>
  </w:style>
  <w:style w:type="paragraph" w:styleId="a6">
    <w:name w:val="footer"/>
    <w:basedOn w:val="a"/>
    <w:link w:val="a7"/>
    <w:rsid w:val="003969EB"/>
    <w:pPr>
      <w:tabs>
        <w:tab w:val="center" w:pos="4153"/>
        <w:tab w:val="right" w:pos="8306"/>
      </w:tabs>
      <w:snapToGrid w:val="0"/>
      <w:jc w:val="left"/>
    </w:pPr>
    <w:rPr>
      <w:sz w:val="18"/>
      <w:szCs w:val="18"/>
    </w:rPr>
  </w:style>
  <w:style w:type="character" w:customStyle="1" w:styleId="a7">
    <w:name w:val="页脚 字符"/>
    <w:basedOn w:val="a0"/>
    <w:link w:val="a6"/>
    <w:rsid w:val="003969EB"/>
    <w:rPr>
      <w:rFonts w:ascii="Times New Roman" w:eastAsia="宋体" w:hAnsi="Times New Roman"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天择</dc:creator>
  <cp:lastModifiedBy>wxhnh@hotmail.com</cp:lastModifiedBy>
  <cp:revision>6</cp:revision>
  <dcterms:created xsi:type="dcterms:W3CDTF">2026-04-23T09:33:00Z</dcterms:created>
  <dcterms:modified xsi:type="dcterms:W3CDTF">2026-06-25T02:44:00Z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6CD22661A14F44918526FC5E0CCD6032_11</vt:lpwstr>
  </property>
  <property fmtid="{D5CDD505-2E9C-101B-9397-08002B2CF9AE}" pid="4" name="KSOTemplateDocerSaveRecord">
    <vt:lpwstr>eyJoZGlkIjoiODViY2JkMjU3NGYzZTEwMzZmMGFkZWViYmNkYWU3NDIiLCJ1c2VySWQiOiIzMjY4NjkyMDMifQ==</vt:lpwstr>
  </property>
</Properties>
</file>