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069402">
      <w:pPr>
        <w:jc w:val="center"/>
      </w:pPr>
      <w:r>
        <w:rPr>
          <w:sz w:val="48"/>
        </w:rPr>
        <w:br w:type="textWrapping"/>
      </w:r>
      <w:r>
        <w:rPr>
          <w:sz w:val="48"/>
        </w:rPr>
        <w:br w:type="textWrapping"/>
      </w:r>
      <w:r>
        <w:rPr>
          <w:sz w:val="48"/>
        </w:rPr>
        <w:br w:type="textWrapping"/>
      </w:r>
      <w:r>
        <w:rPr>
          <w:b/>
        </w:rPr>
        <w:t>中餐北美品牌联盟（CNA）手册</w:t>
      </w:r>
      <w:r>
        <w:rPr>
          <w:b/>
        </w:rPr>
        <w:br w:type="textWrapping"/>
      </w:r>
      <w:r>
        <w:rPr>
          <w:sz w:val="32"/>
        </w:rPr>
        <w:t>Chinese Cuisine North America Alliance (CNA) Handbook</w:t>
      </w:r>
      <w:r>
        <w:rPr>
          <w:sz w:val="32"/>
        </w:rPr>
        <w:br w:type="textWrapping"/>
      </w:r>
      <w:r>
        <w:rPr>
          <w:sz w:val="32"/>
        </w:rPr>
        <w:br w:type="textWrapping"/>
      </w:r>
      <w:r>
        <w:rPr>
          <w:sz w:val="28"/>
        </w:rPr>
        <w:t>模智双驱 · 报团出海</w:t>
      </w:r>
      <w:r>
        <w:rPr>
          <w:sz w:val="28"/>
        </w:rPr>
        <w:br w:type="textWrapping"/>
      </w:r>
      <w:r>
        <w:rPr>
          <w:sz w:val="24"/>
        </w:rPr>
        <w:t>Tech-Driven &amp; United for Global Expansion</w:t>
      </w:r>
      <w:r>
        <w:rPr>
          <w:sz w:val="24"/>
        </w:rPr>
        <w:br w:type="textWrapping"/>
      </w:r>
      <w:r>
        <w:rPr>
          <w:sz w:val="24"/>
        </w:rPr>
        <w:br w:type="textWrapping"/>
      </w:r>
      <w:r>
        <w:rPr>
          <w:sz w:val="24"/>
        </w:rPr>
        <w:br w:type="textWrapping"/>
      </w:r>
      <w:r>
        <w:rPr>
          <w:sz w:val="24"/>
        </w:rPr>
        <w:t>2025年11月 · 上海</w:t>
      </w:r>
      <w:r>
        <w:rPr>
          <w:sz w:val="24"/>
        </w:rPr>
        <w:br w:type="textWrapping"/>
      </w:r>
      <w:r>
        <w:t>November 2025 · Shanghai</w:t>
      </w:r>
    </w:p>
    <w:p w14:paraId="6E8FC562">
      <w:r>
        <w:br w:type="page"/>
      </w:r>
    </w:p>
    <w:p w14:paraId="3879ED6A">
      <w:pPr>
        <w:pStyle w:val="3"/>
      </w:pPr>
      <w:r>
        <w:t>目录 / Contents</w:t>
      </w:r>
    </w:p>
    <w:p w14:paraId="094959DC">
      <w:pPr>
        <w:pStyle w:val="16"/>
      </w:pPr>
      <w:r>
        <w:t>1. 联盟简介 | About CNA</w:t>
      </w:r>
    </w:p>
    <w:p w14:paraId="4745597D">
      <w:pPr>
        <w:pStyle w:val="16"/>
      </w:pPr>
      <w:r>
        <w:t>2. 核心定位 | Positioning</w:t>
      </w:r>
    </w:p>
    <w:p w14:paraId="369321A4">
      <w:pPr>
        <w:pStyle w:val="16"/>
      </w:pPr>
      <w:r>
        <w:t>3. 使命与愿景 | Mission &amp; Vision</w:t>
      </w:r>
    </w:p>
    <w:p w14:paraId="4908AA8E">
      <w:pPr>
        <w:pStyle w:val="16"/>
      </w:pPr>
      <w:r>
        <w:t>4. 发起背景 | Founding Context</w:t>
      </w:r>
    </w:p>
    <w:p w14:paraId="0448D25E">
      <w:pPr>
        <w:pStyle w:val="16"/>
      </w:pPr>
      <w:r>
        <w:t>5. 组织架构 | Governance Structure</w:t>
      </w:r>
    </w:p>
    <w:p w14:paraId="4234C8CB">
      <w:pPr>
        <w:pStyle w:val="16"/>
      </w:pPr>
      <w:r>
        <w:t>6. 发展规划 | Development Roadmap</w:t>
      </w:r>
    </w:p>
    <w:p w14:paraId="0410974E">
      <w:pPr>
        <w:pStyle w:val="16"/>
      </w:pPr>
      <w:r>
        <w:t>7. 成员权益 | Member Benefits</w:t>
      </w:r>
    </w:p>
    <w:p w14:paraId="2BC09B91">
      <w:pPr>
        <w:pStyle w:val="16"/>
      </w:pPr>
      <w:r>
        <w:t>8. 联盟成员风采 | Member Showcase</w:t>
      </w:r>
    </w:p>
    <w:p w14:paraId="45DA0180">
      <w:pPr>
        <w:pStyle w:val="16"/>
      </w:pPr>
      <w:r>
        <w:t>9. 加入我们 | Join Us</w:t>
      </w:r>
    </w:p>
    <w:p w14:paraId="138BDC89">
      <w:r>
        <w:br w:type="page"/>
      </w:r>
    </w:p>
    <w:p w14:paraId="23169E27">
      <w:r>
        <w:rPr>
          <w:b/>
          <w:sz w:val="28"/>
        </w:rPr>
        <w:t>一、联盟简介 | About CNA</w:t>
      </w:r>
    </w:p>
    <w:p w14:paraId="2FC7B9EC"/>
    <w:p w14:paraId="161DDC7E">
      <w:pPr>
        <w:rPr>
          <w:rFonts w:hint="eastAsia" w:eastAsia="微软雅黑"/>
          <w:lang w:eastAsia="zh-CN"/>
        </w:rPr>
      </w:pPr>
      <w:r>
        <w:t>中餐北美品牌联盟（Chinese Cuisine North America</w:t>
      </w:r>
      <w:r>
        <w:rPr>
          <w:rFonts w:hint="eastAsia"/>
          <w:lang w:val="en-US" w:eastAsia="zh-CN"/>
        </w:rPr>
        <w:t xml:space="preserve"> Brands</w:t>
      </w:r>
      <w:r>
        <w:t xml:space="preserve"> Alliance，简称CNA）于2025年11月13日在上海第28届FHC环球食品展期间正式成立，</w:t>
      </w:r>
      <w:r>
        <w:rPr>
          <w:rFonts w:hint="eastAsia"/>
          <w:lang w:val="en-US" w:eastAsia="zh-CN"/>
        </w:rPr>
        <w:t>并于2026年4月1日在2026年第二届中餐全球化发展论坛期间扩大到20余家连锁品牌及核心企业。大家共同发起成立“全球连锁生态联盟（筹）”并一致决定先依托中餐北美品牌联盟开展工作。</w:t>
      </w:r>
      <w:r>
        <w:br w:type="textWrapping"/>
      </w:r>
      <w:r>
        <w:br w:type="textWrapping"/>
      </w:r>
      <w:r>
        <w:t xml:space="preserve">The Chinese Cuisine North America Brands Alliance (abbreviated as CNA) was officially launched on November 13, 2025 during the 28th FHC Global Food Show held in Shanghai. It further expanded its membership to over 20 chain brands and core enterprises on April 1, 2026 at the 2nd Global Chinese Cuisine Development Forum 2026. All </w:t>
      </w:r>
      <w:r>
        <w:rPr>
          <w:rFonts w:hint="eastAsia"/>
          <w:lang w:val="en-US" w:eastAsia="zh-CN"/>
        </w:rPr>
        <w:t>memebers agreed to piloting under CNA in order to form</w:t>
      </w:r>
      <w:r>
        <w:t xml:space="preserve"> the Global Chain Ecosystem Alliance (</w:t>
      </w:r>
      <w:r>
        <w:rPr>
          <w:rFonts w:hint="eastAsia"/>
          <w:lang w:val="en-US" w:eastAsia="zh-CN"/>
        </w:rPr>
        <w:t xml:space="preserve">now </w:t>
      </w:r>
      <w:r>
        <w:t>in preparation)</w:t>
      </w:r>
      <w:r>
        <w:rPr>
          <w:rFonts w:hint="eastAsia"/>
          <w:lang w:val="en-US" w:eastAsia="zh-CN"/>
        </w:rPr>
        <w:t xml:space="preserve"> </w:t>
      </w:r>
      <w:r>
        <w:rPr>
          <w:rFonts w:hint="eastAsia"/>
          <w:lang w:eastAsia="zh-CN"/>
        </w:rPr>
        <w:t>。</w:t>
      </w:r>
    </w:p>
    <w:p w14:paraId="044B4E4D">
      <w:pPr>
        <w:spacing w:after="240"/>
      </w:pPr>
    </w:p>
    <w:p w14:paraId="0CC862CF">
      <w:r>
        <w:t>__________________________________________________</w:t>
      </w:r>
    </w:p>
    <w:p w14:paraId="23B94E45">
      <w:r>
        <w:rPr>
          <w:b/>
          <w:sz w:val="28"/>
        </w:rPr>
        <w:t>二、核心定位 | Positioning</w:t>
      </w:r>
    </w:p>
    <w:p w14:paraId="2907DE30"/>
    <w:p w14:paraId="4163516C">
      <w:pPr>
        <w:rPr/>
      </w:pPr>
      <w:r>
        <w:t>技术驱动的北美中餐连锁品牌协作平台。</w:t>
      </w:r>
      <w:r>
        <w:rPr>
          <w:rFonts w:hint="eastAsia"/>
          <w:lang w:val="en-US" w:eastAsia="zh-CN"/>
        </w:rPr>
        <w:t>五</w:t>
      </w:r>
      <w:r>
        <w:t>大维度：1.</w:t>
      </w:r>
      <w:r>
        <w:rPr>
          <w:rFonts w:hint="eastAsia"/>
          <w:lang w:val="en-US" w:eastAsia="zh-CN"/>
        </w:rPr>
        <w:t xml:space="preserve"> 中餐连锁品牌海外拓展及共享交流平台：以北美为试点逐步推广到全球协作，抱团发展，共享共建。2.市场推广及社媒服务：探索建立城市中餐推广中心及社媒联合运营服务基地等，为连锁品牌落地拓展及海外华人华侨中餐馆升级扩张赋能。</w:t>
      </w:r>
      <w:r>
        <w:t xml:space="preserve"> </w:t>
      </w:r>
      <w:r>
        <w:rPr>
          <w:rFonts w:hint="eastAsia"/>
          <w:lang w:val="en-US" w:eastAsia="zh-CN"/>
        </w:rPr>
        <w:t xml:space="preserve">3. </w:t>
      </w:r>
      <w:r>
        <w:t>技术赋能枢纽：推动智能烹饪设备、数字化管理系统落地；</w:t>
      </w:r>
      <w:r>
        <w:rPr>
          <w:rFonts w:hint="eastAsia"/>
          <w:lang w:val="en-US" w:eastAsia="zh-CN"/>
        </w:rPr>
        <w:t>4</w:t>
      </w:r>
      <w:r>
        <w:t>. 资源整合载体：整合供应链、合规服务、市场渠道；</w:t>
      </w:r>
      <w:r>
        <w:rPr>
          <w:rFonts w:hint="eastAsia"/>
          <w:lang w:val="en-US" w:eastAsia="zh-CN"/>
        </w:rPr>
        <w:t>5</w:t>
      </w:r>
      <w:r>
        <w:t>. 文化传播窗口：打破刻板印象，传递饮食文化多样性。</w:t>
      </w:r>
      <w:r>
        <w:br w:type="textWrapping"/>
      </w:r>
      <w:r>
        <w:br w:type="textWrapping"/>
      </w:r>
      <w:r>
        <w:rPr>
          <w:lang w:val="en-US" w:eastAsia="zh-CN"/>
        </w:rPr>
        <w:t>A technology-driven collaborative platform for North American Chinese restaurant chain brands, covering five core dimensions:</w:t>
      </w:r>
    </w:p>
    <w:p w14:paraId="48ED7423">
      <w:pPr>
        <w:rPr/>
      </w:pPr>
      <w:r>
        <w:t>Overseas Expansion &amp; Exchange Platform for Chinese Restaurant Chains Taking North America as a pilot region, we will roll out collaborative operations worldwide to drive collective growth through shared resources and joint development.</w:t>
      </w:r>
    </w:p>
    <w:p w14:paraId="71197BCA">
      <w:pPr>
        <w:rPr/>
      </w:pPr>
      <w:r>
        <w:t>Marketing &amp; Social Media Services We plan to launch city-level Chinese cuisine promotion hubs and joint social media operation bases to empower chain brands with overseas market entry and support overseas Chinese-owned restaurants in upgrading and expanding their businesses.</w:t>
      </w:r>
    </w:p>
    <w:p w14:paraId="272F66D3">
      <w:pPr>
        <w:rPr/>
      </w:pPr>
      <w:r>
        <w:t>Technology Empowerment Hub Accelerate the industry-wide adoption of intelligent cooking equipment and digital management systems.</w:t>
      </w:r>
    </w:p>
    <w:p w14:paraId="30832206">
      <w:pPr>
        <w:rPr/>
      </w:pPr>
      <w:r>
        <w:t>Resource Integration Vehicle Consolidate catering supply chains, compliance consulting services and global marketing channels.</w:t>
      </w:r>
    </w:p>
    <w:p w14:paraId="38D60A5A">
      <w:pPr>
        <w:rPr/>
      </w:pPr>
      <w:r>
        <w:t>Cultural Communication Gateway Dismantle one-sided stereotypes and showcase the rich diversity of Chinese culinary culture to the world</w:t>
      </w:r>
    </w:p>
    <w:p w14:paraId="6EABE148">
      <w:r>
        <w:t>__________________________________________________</w:t>
      </w:r>
    </w:p>
    <w:p w14:paraId="3A2978D8">
      <w:r>
        <w:rPr>
          <w:b/>
          <w:sz w:val="28"/>
        </w:rPr>
        <w:t>三、使命与愿景 | Mission &amp; Vision</w:t>
      </w:r>
    </w:p>
    <w:p w14:paraId="47A05CC8"/>
    <w:p w14:paraId="0BB682DD">
      <w:r>
        <w:t>使命：中国模式连锁、品牌体系输出、AI技术赋能、融合本地资源、文化全球传播。愿景：构建标准化、智能化、品牌化的北美中餐连锁产业新生态。</w:t>
      </w:r>
    </w:p>
    <w:p w14:paraId="6622E52C">
      <w:r>
        <w:br w:type="textWrapping"/>
      </w:r>
      <w:r>
        <w:t>Mission: Export China's franchise models, empower with AI, localize resources, and globalize culinary culture. Vision: Build a standardized, intelligent, and branded ecosystem.</w:t>
      </w:r>
    </w:p>
    <w:p w14:paraId="63B3ABC0">
      <w:pPr>
        <w:spacing w:after="240"/>
      </w:pPr>
    </w:p>
    <w:p w14:paraId="049BA460">
      <w:r>
        <w:t>__________________________________________________</w:t>
      </w:r>
    </w:p>
    <w:p w14:paraId="43ED054E">
      <w:r>
        <w:rPr>
          <w:b/>
          <w:sz w:val="28"/>
        </w:rPr>
        <w:t>四、发起背景 | Founding Context</w:t>
      </w:r>
    </w:p>
    <w:p w14:paraId="669DC059">
      <w:pPr>
        <w:rPr/>
      </w:pPr>
      <w:r>
        <w:t>当前，中餐出海正迎来历史性发展机遇。数据显示，2024年中国餐饮连锁化率达24%，全球中式餐饮门店数量已超过70万家。国家政策层面持续发力，2024年商务部等九部门联合发布《关于促进餐饮业高质量发展的指导意见》，明确提出“加快中餐走出去”的战略方针；2025年国务院发布《关于深入实施“人工智能+”行动的意见》，为“人工智能+消费提质”与“人工智能+全球合作”注入新动能，从国家层面对中餐出海给予大力支持。</w:t>
      </w:r>
    </w:p>
    <w:p w14:paraId="6360FB41">
      <w:pPr>
        <w:rPr/>
      </w:pPr>
      <w:r>
        <w:t>然而，中餐在出海过程中仍面临海外厨师匮乏、劳务输出政策限制、供应链食材不标准、跨境物流成本高等多重挑战。与此同时，中餐连锁“中国模式”与“中国智能”深度融合的优秀案例不断涌现，以连锁化、标准化、智能化为内核的中国特色餐饮全球化路径正在被验证、被复制、被输出。</w:t>
      </w:r>
    </w:p>
    <w:p w14:paraId="23B8BE29">
      <w:r>
        <w:rPr>
          <w:rFonts w:hint="eastAsia"/>
          <w:lang w:val="en-US" w:eastAsia="zh-CN"/>
        </w:rPr>
        <w:t>中餐北美品牌联盟</w:t>
      </w:r>
      <w:r>
        <w:t>，以“模智双驱，</w:t>
      </w:r>
      <w:r>
        <w:rPr>
          <w:rFonts w:hint="eastAsia"/>
          <w:lang w:val="en-US" w:eastAsia="zh-CN"/>
        </w:rPr>
        <w:t>抱团取暖</w:t>
      </w:r>
      <w:r>
        <w:t>”为战略主轴，聚焦中国模式与中国智能两大引擎，深度</w:t>
      </w:r>
      <w:r>
        <w:rPr>
          <w:rFonts w:hint="eastAsia"/>
          <w:lang w:val="en-US" w:eastAsia="zh-CN"/>
        </w:rPr>
        <w:t>推动</w:t>
      </w:r>
      <w:r>
        <w:t>中餐全球化的模式创新路径与智能化升级方向，并面向全球正式启动“中餐全球推广基地”体系建设，构筑覆盖五大洲的中餐文化传播与产业服务枢纽，全面推动中餐从“走出去”迈向“走进去、走上去”。</w:t>
      </w:r>
    </w:p>
    <w:p w14:paraId="4C59614F">
      <w:pPr>
        <w:rPr/>
      </w:pPr>
      <w:r>
        <w:t>2024年海外中餐市场规模突破3万亿元，全球门店超70万家。北美市场潜力巨大</w:t>
      </w:r>
      <w:r>
        <w:rPr>
          <w:rFonts w:hint="eastAsia"/>
          <w:lang w:eastAsia="zh-CN"/>
        </w:rPr>
        <w:t>，</w:t>
      </w:r>
      <w:r>
        <w:t>谷歌搜索热度超意餐与日餐。联盟以“中国模式+中国智能”为破局路径。</w:t>
      </w:r>
      <w:r>
        <w:br w:type="textWrapping"/>
      </w:r>
      <w:r>
        <w:br w:type="textWrapping"/>
      </w:r>
      <w:r>
        <w:rPr>
          <w:lang w:val="en-US" w:eastAsia="zh-CN"/>
        </w:rPr>
        <w:t>Chinese cuisine’s global expansion is now embracing historic development opportunities. Statistics show that China’s catering chain penetration rate hit 24% in 2024, while the total number of Chinese food outlets worldwide has exceeded 700,000.</w:t>
      </w:r>
    </w:p>
    <w:p w14:paraId="72513B72">
      <w:pPr>
        <w:rPr/>
      </w:pPr>
      <w:r>
        <w:rPr>
          <w:lang w:val="en-US" w:eastAsia="zh-CN"/>
        </w:rPr>
        <w:t>Strong policy support has been rolled out at the national level. In 2024, the Ministry of Commerce and eight other central departments jointly issued the Guiding Opinions on Promoting High-Quality Development of the Catering Industry, which clearly set forth the strategic guideline of “accelerating Chinese cuisine’s global outreach”. In 2025, the State Council released the Opinions on Further Implementing the "AI Plus" Initiative, injecting new momentum into “AI-enabled consumption upgrading” and “AI-powered global cooperation”, and delivering robust state-level backing for Chinese restaurants going global.</w:t>
      </w:r>
    </w:p>
    <w:p w14:paraId="33BDDCA3">
      <w:pPr>
        <w:rPr/>
      </w:pPr>
      <w:r>
        <w:rPr>
          <w:lang w:val="en-US" w:eastAsia="zh-CN"/>
        </w:rPr>
        <w:t>Nevertheless, overseas Chinese catering operators are still confronted with multiple hurdles during international expansion, including shortages of professional Chinese chefs, restrictions on labor export policies, inconsistent ingredient standards across supply chains, and high cross-border logistics expenses. Meanwhile, a growing number of successful models integrating Chinese chain operation systems with domestic smart catering technologies have emerged. A uniquely Chinese path for catering globalization centered on chain operation, standardization and digital intelligence is being validated, replicated and exported across the world.</w:t>
      </w:r>
    </w:p>
    <w:p w14:paraId="48790CD4">
      <w:pPr>
        <w:rPr/>
      </w:pPr>
      <w:r>
        <w:rPr>
          <w:lang w:val="en-US" w:eastAsia="zh-CN"/>
        </w:rPr>
        <w:t>Centered on the core strategy of “dual-driven growth via standardized models and smart technology, united development through collective collaboration”, the Chinese Cuisine North America Brands Alliance (CNA) focuses on the twin drivers of Chinese operational models and Chinese smart catering technologies. It advances innovative business models and intelligent upgrading solutions for global Chinese catering development. The Alliance has officially launched the development of a global network of Chinese Cuisine Promotion Hubs worldwide, building industrial service and cultural communication nodes spanning five continents. It strives to elevate Chinese cuisine’s global presence from merely “going global” to “integrating into local communities and ascending to premium global markets”.</w:t>
      </w:r>
    </w:p>
    <w:p w14:paraId="3A19CFB5">
      <w:pPr>
        <w:rPr/>
      </w:pPr>
      <w:r>
        <w:rPr>
          <w:lang w:val="en-US" w:eastAsia="zh-CN"/>
        </w:rPr>
        <w:t>The market scale of overseas Chinese catering surpassed RMB 3 trillion in 2024, with more than 700,000 stores operating globally. The North American market boasts immense untapped potential: Google search volume for Chinese cuisine outpaces that of Italian and Japanese food. The Alliance adopts the integrated solution of “Chinese Model + Chinese</w:t>
      </w:r>
      <w:r>
        <w:rPr>
          <w:rFonts w:hint="eastAsia"/>
          <w:lang w:val="en-US" w:eastAsia="zh-CN"/>
        </w:rPr>
        <w:t xml:space="preserve"> </w:t>
      </w:r>
      <w:r>
        <w:rPr>
          <w:lang w:val="en-US" w:eastAsia="zh-CN"/>
        </w:rPr>
        <w:t>Technologies” to break through prevailing industry bottlenecks.</w:t>
      </w:r>
    </w:p>
    <w:p w14:paraId="22F048C1"/>
    <w:p w14:paraId="170AAB58">
      <w:pPr>
        <w:numPr>
          <w:ilvl w:val="0"/>
          <w:numId w:val="7"/>
        </w:numPr>
        <w:rPr>
          <w:b/>
          <w:sz w:val="28"/>
        </w:rPr>
      </w:pPr>
      <w:r>
        <w:rPr>
          <w:rFonts w:hint="eastAsia"/>
          <w:b/>
          <w:sz w:val="28"/>
          <w:lang w:val="en-US" w:eastAsia="zh-CN"/>
        </w:rPr>
        <w:t>会员风采</w:t>
      </w:r>
      <w:r>
        <w:rPr>
          <w:b/>
          <w:sz w:val="28"/>
        </w:rPr>
        <w:t xml:space="preserve"> | </w:t>
      </w:r>
      <w:r>
        <w:rPr>
          <w:rFonts w:hint="eastAsia"/>
          <w:b/>
          <w:sz w:val="28"/>
          <w:lang w:val="en-US" w:eastAsia="zh-CN"/>
        </w:rPr>
        <w:t>Membership Showcase</w:t>
      </w:r>
    </w:p>
    <w:p w14:paraId="6F283B74">
      <w:pPr>
        <w:numPr>
          <w:numId w:val="0"/>
        </w:numPr>
        <w:rPr>
          <w:b/>
          <w:sz w:val="28"/>
        </w:rPr>
      </w:pPr>
      <w:bookmarkStart w:id="0" w:name="_GoBack"/>
      <w:bookmarkEnd w:id="0"/>
    </w:p>
    <w:p w14:paraId="626967D9">
      <w:pPr>
        <w:numPr>
          <w:ilvl w:val="0"/>
          <w:numId w:val="7"/>
        </w:numPr>
        <w:rPr>
          <w:b/>
          <w:sz w:val="28"/>
        </w:rPr>
      </w:pPr>
      <w:r>
        <w:rPr>
          <w:rFonts w:hint="eastAsia"/>
          <w:b/>
          <w:sz w:val="28"/>
          <w:lang w:val="en-US" w:eastAsia="zh-CN"/>
        </w:rPr>
        <w:t xml:space="preserve">会员清单 </w:t>
      </w:r>
      <w:r>
        <w:rPr>
          <w:b/>
          <w:sz w:val="28"/>
        </w:rPr>
        <w:t xml:space="preserve"> | </w:t>
      </w:r>
      <w:r>
        <w:rPr>
          <w:rFonts w:hint="eastAsia"/>
          <w:b/>
          <w:sz w:val="28"/>
          <w:lang w:val="en-US" w:eastAsia="zh-CN"/>
        </w:rPr>
        <w:t xml:space="preserve">Members List </w:t>
      </w:r>
    </w:p>
    <w:p w14:paraId="5528CE57">
      <w:pPr>
        <w:numPr>
          <w:numId w:val="0"/>
        </w:numPr>
        <w:rPr>
          <w:b/>
          <w:sz w:val="28"/>
        </w:rPr>
      </w:pPr>
    </w:p>
    <w:p w14:paraId="1282175B"/>
    <w:p w14:paraId="63B838FB">
      <w:r>
        <w:t>__________________________________________________</w:t>
      </w:r>
    </w:p>
    <w:p w14:paraId="6607A919">
      <w:r>
        <w:rPr>
          <w:b/>
          <w:sz w:val="28"/>
        </w:rPr>
        <w:t>六、发展规划 | Development Roadmap</w:t>
      </w:r>
    </w:p>
    <w:p w14:paraId="48DD1995"/>
    <w:p w14:paraId="633F47D7">
      <w:r>
        <w:t>1. 标准建设：制定北美中餐智能设备应用标准；2. 网络搭建：在华盛顿、纽约、洛杉矶等核心城市设立服务办事处；3. 品牌合力：举办论坛、大赛及主题展，提升主流市场话语权。</w:t>
      </w:r>
      <w:r>
        <w:br w:type="textWrapping"/>
      </w:r>
      <w:r>
        <w:t>1. Standards: Develop smart equipment standards; 2. Network: Set up offices in key cities; 3. Branding: Host forums and exhibitions.</w:t>
      </w:r>
    </w:p>
    <w:p w14:paraId="2E9C0C33">
      <w:pPr>
        <w:spacing w:after="240"/>
      </w:pPr>
    </w:p>
    <w:p w14:paraId="77848126">
      <w:r>
        <w:t>__________________________________________________</w:t>
      </w:r>
    </w:p>
    <w:p w14:paraId="0471E01F">
      <w:r>
        <w:rPr>
          <w:b/>
          <w:sz w:val="28"/>
        </w:rPr>
        <w:t>七、成员权益 | Member Benefits</w:t>
      </w:r>
    </w:p>
    <w:p w14:paraId="33C41939">
      <w:pPr>
        <w:rPr>
          <w:rFonts w:hint="eastAsia"/>
          <w:lang w:val="en-US" w:eastAsia="zh-CN"/>
        </w:rPr>
      </w:pPr>
      <w:r>
        <w:t xml:space="preserve">✅ </w:t>
      </w:r>
      <w:r>
        <w:rPr>
          <w:rFonts w:hint="eastAsia"/>
          <w:lang w:val="en-US" w:eastAsia="zh-CN"/>
        </w:rPr>
        <w:t xml:space="preserve">联合招商 </w:t>
      </w:r>
      <w:r>
        <w:t>✅ 供应链集采 ✅ 合规与法律支持 ✅ 智能设备</w:t>
      </w:r>
      <w:r>
        <w:rPr>
          <w:rFonts w:hint="eastAsia"/>
          <w:lang w:val="en-US" w:eastAsia="zh-CN"/>
        </w:rPr>
        <w:t>保障服务</w:t>
      </w:r>
      <w:r>
        <w:t xml:space="preserve"> ✅ 北美展会联合参展 ✅ </w:t>
      </w:r>
      <w:r>
        <w:rPr>
          <w:rFonts w:hint="eastAsia"/>
          <w:lang w:val="en-US" w:eastAsia="zh-CN"/>
        </w:rPr>
        <w:t xml:space="preserve"> </w:t>
      </w:r>
      <w:r>
        <w:t>品牌联合推广</w:t>
      </w:r>
      <w:r>
        <w:rPr>
          <w:rFonts w:hint="eastAsia"/>
          <w:lang w:val="en-US" w:eastAsia="zh-CN"/>
        </w:rPr>
        <w:t xml:space="preserve"> </w:t>
      </w:r>
      <w:r>
        <w:t xml:space="preserve">✅ </w:t>
      </w:r>
      <w:r>
        <w:rPr>
          <w:rFonts w:hint="eastAsia"/>
          <w:lang w:val="en-US" w:eastAsia="zh-CN"/>
        </w:rPr>
        <w:t xml:space="preserve"> 投融资与金融服务</w:t>
      </w:r>
    </w:p>
    <w:p w14:paraId="2093AFF3">
      <w:r>
        <w:br w:type="textWrapping"/>
      </w:r>
      <w:r>
        <w:t>✅ Joint Investment Promotion ✅ Centralized Supply Chain Procurement ✅ Compliance &amp; Legal Support ✅ Intelligent Equipment Support Services ✅ Joint Exhibition Participation in North America ✅ Co-branded Marketing &amp; Promotion ✅ Investment, Financing &amp; Financial Services</w:t>
      </w:r>
    </w:p>
    <w:p w14:paraId="3475F6A6">
      <w:pPr>
        <w:spacing w:after="240"/>
      </w:pPr>
    </w:p>
    <w:p w14:paraId="0253FB87">
      <w:r>
        <w:rPr>
          <w:b/>
          <w:sz w:val="28"/>
        </w:rPr>
        <w:t>八、联盟成员风采 | Member Showcase</w:t>
      </w:r>
    </w:p>
    <w:p w14:paraId="4CFA8815"/>
    <w:p w14:paraId="03957F5A">
      <w:r>
        <w:t>【此处预留品牌介绍位置】</w:t>
      </w:r>
      <w:r>
        <w:br w:type="textWrapping"/>
      </w:r>
      <w:r>
        <w:br w:type="textWrapping"/>
      </w:r>
      <w:r>
        <w:t>示例：</w:t>
      </w:r>
      <w:r>
        <w:br w:type="textWrapping"/>
      </w:r>
      <w:r>
        <w:t>燕诚智能设备制造河北有限公司</w:t>
      </w:r>
      <w:r>
        <w:br w:type="textWrapping"/>
      </w:r>
      <w:r>
        <w:t>专注于中央厨房整体解决方案的高新技术企业，提供果蔬肉类预处理、热调理、包装全流程设备，已获ISO9001、对外贸易备案等资质，致力于为北美市场提供智能央厨整线方案。</w:t>
      </w:r>
      <w:r>
        <w:br w:type="textWrapping"/>
      </w:r>
      <w:r>
        <w:br w:type="textWrapping"/>
      </w:r>
      <w:r>
        <w:t>[在此处插入企业Logo]</w:t>
      </w:r>
      <w:r>
        <w:br w:type="textWrapping"/>
      </w:r>
      <w:r>
        <w:t>[在此处填写企业核心优势与北美布局规划...]</w:t>
      </w:r>
      <w:r>
        <w:br w:type="textWrapping"/>
      </w:r>
      <w:r>
        <w:br w:type="textWrapping"/>
      </w:r>
      <w:r>
        <w:t>Reserved for profiles of council members and partners.</w:t>
      </w:r>
      <w:r>
        <w:br w:type="textWrapping"/>
      </w:r>
      <w:r>
        <w:br w:type="textWrapping"/>
      </w:r>
      <w:r>
        <w:t>Example:</w:t>
      </w:r>
      <w:r>
        <w:br w:type="textWrapping"/>
      </w:r>
      <w:r>
        <w:t>Yancheng Intelligent Equipment: High-tech enterprise specializing in turnkey central kitchen solutions, with ISO9001 and export certifications.</w:t>
      </w:r>
    </w:p>
    <w:p w14:paraId="296F829D">
      <w:pPr>
        <w:spacing w:after="240"/>
      </w:pPr>
    </w:p>
    <w:p w14:paraId="6D693443">
      <w:r>
        <w:t>__________________________________________________</w:t>
      </w:r>
    </w:p>
    <w:p w14:paraId="6E7DE31B">
      <w:r>
        <w:rPr>
          <w:b/>
          <w:sz w:val="28"/>
        </w:rPr>
        <w:t>九、</w:t>
      </w:r>
      <w:r>
        <w:rPr>
          <w:rFonts w:hint="eastAsia"/>
          <w:b/>
          <w:sz w:val="28"/>
          <w:lang w:val="en-US" w:eastAsia="zh-CN"/>
        </w:rPr>
        <w:t>联系</w:t>
      </w:r>
      <w:r>
        <w:rPr>
          <w:b/>
          <w:sz w:val="28"/>
        </w:rPr>
        <w:t xml:space="preserve">我们 | </w:t>
      </w:r>
      <w:r>
        <w:rPr>
          <w:rFonts w:hint="eastAsia"/>
          <w:b/>
          <w:sz w:val="28"/>
          <w:lang w:val="en-US" w:eastAsia="zh-CN"/>
        </w:rPr>
        <w:t>Contact</w:t>
      </w:r>
      <w:r>
        <w:rPr>
          <w:b/>
          <w:sz w:val="28"/>
        </w:rPr>
        <w:t xml:space="preserve"> Us</w:t>
      </w:r>
    </w:p>
    <w:p w14:paraId="57E2C0CA">
      <w:pPr>
        <w:rPr>
          <w:rFonts w:hint="eastAsia"/>
          <w:lang w:val="en-US" w:eastAsia="zh-CN"/>
        </w:rPr>
      </w:pPr>
      <w:r>
        <w:t>适用对象：</w:t>
      </w:r>
      <w:r>
        <w:rPr>
          <w:rFonts w:hint="eastAsia"/>
          <w:lang w:val="en-US" w:eastAsia="zh-CN"/>
        </w:rPr>
        <w:t>海内外</w:t>
      </w:r>
      <w:r>
        <w:t>中餐连锁品牌、</w:t>
      </w:r>
      <w:r>
        <w:rPr>
          <w:rFonts w:hint="eastAsia"/>
          <w:lang w:val="en-US" w:eastAsia="zh-CN"/>
        </w:rPr>
        <w:t>华裔经营餐饮门店，</w:t>
      </w:r>
      <w:r>
        <w:t>智能装备企业、供应链与食材企业、服务与媒体机构</w:t>
      </w:r>
      <w:r>
        <w:rPr>
          <w:rFonts w:hint="eastAsia"/>
          <w:lang w:val="en-US" w:eastAsia="zh-CN"/>
        </w:rPr>
        <w:t>等</w:t>
      </w:r>
    </w:p>
    <w:p w14:paraId="52173782">
      <w:pPr>
        <w:rPr>
          <w:rFonts w:hint="eastAsia"/>
          <w:lang w:val="en-US" w:eastAsia="zh-CN"/>
        </w:rPr>
      </w:pPr>
    </w:p>
    <w:p w14:paraId="7B372D5F">
      <w:pPr>
        <w:rPr>
          <w:rFonts w:hint="eastAsia" w:eastAsia="微软雅黑"/>
          <w:lang w:val="en-US" w:eastAsia="zh-CN"/>
        </w:rPr>
      </w:pPr>
      <w:r>
        <w:rPr>
          <w:rFonts w:hint="eastAsia"/>
          <w:lang w:val="en-US" w:eastAsia="zh-CN"/>
        </w:rPr>
        <w:t>秘书处：</w:t>
      </w:r>
      <w:r>
        <w:t>联系</w:t>
      </w:r>
      <w:r>
        <w:rPr>
          <w:rFonts w:hint="eastAsia"/>
          <w:lang w:val="en-US" w:eastAsia="zh-CN"/>
        </w:rPr>
        <w:t>方式</w:t>
      </w:r>
    </w:p>
    <w:p w14:paraId="6B4C2EF9">
      <w:pPr>
        <w:rPr>
          <w:rFonts w:hint="eastAsia"/>
          <w:lang w:val="en-US" w:eastAsia="zh-CN"/>
        </w:rPr>
      </w:pPr>
      <w:r>
        <w:rPr>
          <w:rFonts w:hint="eastAsia"/>
          <w:lang w:val="en-US" w:eastAsia="zh-CN"/>
        </w:rPr>
        <w:t>韩温  副秘书长</w:t>
      </w:r>
    </w:p>
    <w:p w14:paraId="74AA2F8A">
      <w:pPr>
        <w:rPr>
          <w:rFonts w:hint="default" w:eastAsia="微软雅黑"/>
          <w:lang w:val="en-US" w:eastAsia="zh-CN"/>
        </w:rPr>
      </w:pPr>
      <w:r>
        <w:t>📧 邮箱：</w:t>
      </w:r>
      <w:r>
        <w:rPr>
          <w:rFonts w:hint="eastAsia"/>
          <w:lang w:val="en-US" w:eastAsia="zh-CN"/>
        </w:rPr>
        <w:t>wenhan</w:t>
      </w:r>
      <w:r>
        <w:t>@35xiaoju.com</w:t>
      </w:r>
      <w:r>
        <w:br w:type="textWrapping"/>
      </w:r>
      <w:r>
        <w:t xml:space="preserve">📱 微信/电话：+86 </w:t>
      </w:r>
      <w:r>
        <w:rPr>
          <w:rFonts w:hint="eastAsia"/>
          <w:lang w:val="en-US" w:eastAsia="zh-CN"/>
        </w:rPr>
        <w:t>18114922338</w:t>
      </w:r>
      <w:r>
        <w:br w:type="textWrapping"/>
      </w:r>
      <w:r>
        <w:t>🌐 官网：</w:t>
      </w:r>
      <w:r>
        <w:rPr>
          <w:rFonts w:hint="eastAsia"/>
          <w:lang w:val="en-US" w:eastAsia="zh-CN"/>
        </w:rPr>
        <w:t>www.j127.com</w:t>
      </w:r>
    </w:p>
    <w:p w14:paraId="0A37229E"/>
    <w:p w14:paraId="5420F547">
      <w:r>
        <w:rPr>
          <w:rFonts w:hint="eastAsia"/>
          <w:lang w:val="en-US" w:eastAsia="zh-CN"/>
        </w:rPr>
        <w:t xml:space="preserve">张科 执行理事长 </w:t>
      </w:r>
      <w:r>
        <w:br w:type="textWrapping"/>
      </w:r>
      <w:r>
        <w:t>📧 邮箱：zhangd</w:t>
      </w:r>
      <w:r>
        <w:rPr>
          <w:rFonts w:hint="eastAsia"/>
          <w:lang w:val="en-US" w:eastAsia="zh-CN"/>
        </w:rPr>
        <w:t>z</w:t>
      </w:r>
      <w:r>
        <w:t>@35xiaoju.com</w:t>
      </w:r>
      <w:r>
        <w:br w:type="textWrapping"/>
      </w:r>
      <w:r>
        <w:t>📱 微信/电话：+86 13381220199</w:t>
      </w:r>
      <w:r>
        <w:br w:type="textWrapping"/>
      </w:r>
      <w:r>
        <w:t>🌐 官网：</w:t>
      </w:r>
      <w:r>
        <w:rPr>
          <w:rFonts w:hint="eastAsia"/>
          <w:lang w:val="en-US" w:eastAsia="zh-CN"/>
        </w:rPr>
        <w:t>www.j127.com</w:t>
      </w:r>
      <w:r>
        <w:br w:type="textWrapping"/>
      </w:r>
      <w:r>
        <w:br w:type="textWrapping"/>
      </w:r>
    </w:p>
    <w:p w14:paraId="53F6DEC4">
      <w:pPr>
        <w:rPr>
          <w:rFonts w:hint="eastAsia" w:eastAsia="微软雅黑"/>
          <w:lang w:eastAsia="zh-C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3E45DC08"/>
    <w:multiLevelType w:val="singleLevel"/>
    <w:tmpl w:val="3E45DC08"/>
    <w:lvl w:ilvl="0" w:tentative="0">
      <w:start w:val="5"/>
      <w:numFmt w:val="chineseCounting"/>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161B7F"/>
    <w:rsid w:val="11537B7A"/>
    <w:rsid w:val="39BD41A7"/>
    <w:rsid w:val="7F92415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1176</Words>
  <Characters>3120</Characters>
  <Lines>0</Lines>
  <Paragraphs>0</Paragraphs>
  <TotalTime>16</TotalTime>
  <ScaleCrop>false</ScaleCrop>
  <LinksUpToDate>false</LinksUpToDate>
  <CharactersWithSpaces>3418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张科（岛主）</cp:lastModifiedBy>
  <dcterms:modified xsi:type="dcterms:W3CDTF">2026-06-27T16:49:46Z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{"Label":"1","ContentProducer":"001191440300708461136T1IVWN","ProduceID":"b05e47eb6703a56d1b16cfa8bdcd7089-gi77mjpnq6kke5oyxg5akent2tkvscya4zpm25sv","ReservedCode1":"{\"Type\":\" TC260PG\",\"Version\":1,\"Bindings\":[{\"Type\":\"soft\",\"AlgID\":\"sm3\",\"Value\":\"dbe42b25f70b12ed952c55cdfbd6817dd9c8c3e94c490c36de80387cd5538e6b\"},{\"Type\":\"hash\",\"AlgID\":\"sm3\",\"Value\":\"dd1a4187408e4d82f2b75d7d30358c635da7a71d88ecad018d6553a96a5a026a\"}],\"PubSD\":[{\"Type\":\"DS\",\"AlgID\":\"sm2\",\"TBSData\":{\"Type\":\"Binding\",\"BType\":\"hash\"},\"Signature\":\"3044022013121e92270246e3724516467567252b00509d89e9809b590a994c83748eb1ef022032e9509e63a4ef52b34f66b54d50b540f5a2dc60bf7b36abe8f64fd2a3b74039\"},{\"Type\":\"PubKey\",\"AlgID\":\"sm2\",\"KeyValue\":\"0407f79b28a17a752b3aae4305c98b48978213832729a2571850b1310b2bc9fe8fee039ccf25ebfeac27502414d9fcef792d777183c98893d226171c2f7a3289a2\"}],\"Extension\":{\"Timestamp\":1777361170,\"KeyVersion\":\"v1-Owd2uMESYLo311\"}}","ContentPropagator":"001191440300708461136T1IVWN","PropagateID":"b05e47eb6703a56d1b16cfa8bdcd7089-gi77mjpnq6kke5oyxg5akent2tkvscya4zpm25sv","ReservedCode2":"{\"Type\":\" TC260PG\",\"Version\":1,\"Bindings\":[{\"Type\":\"soft\",\"AlgID\":\"sm3\",\"Value\":\"dbe42b25f70b12ed952c55cdfbd6817dd9c8c3e94c490c36de80387cd5538e6b\"},{\"Type\":\"hash\",\"AlgID\":\"sm3\",\"Value\":\"dd1a4187408e4d82f2b75d7d30358c635da7a71d88ecad018d6553a96a5a026a\"}],\"PubSD\":[{\"Type\":\"DS\",\"AlgID\":\"sm2\",\"TBSData\":{\"Type\":\"Binding\",\"BType\":\"hash\"},\"Signature\":\"3046022100b98d94ce091c5602ab62b88894f50f89cb4d8f6d2de44c67914393721bbbf82f022100a22a90a901512eee83f1d4d4f38e53f7bf5ef334cf3a31eb85c5b9f39af9cc31\"},{\"Type\":\"PubKey\",\"AlgID\":\"sm2\",\"KeyValue\":\"0407f79b28a17a752b3aae4305c98b48978213832729a2571850b1310b2bc9fe8fee039ccf25ebfeac27502414d9fcef792d777183c98893d226171c2f7a3289a2\"}],\"Extension\":{\"Timestamp\":1777361170,\"KeyVersion\":\"v1-Owd2uMESYLo311\"}}"}</vt:lpwstr>
  </property>
  <property fmtid="{D5CDD505-2E9C-101B-9397-08002B2CF9AE}" pid="3" name="KSOTemplateDocerSaveRecord">
    <vt:lpwstr>eyJoZGlkIjoiMWMxZTYzOTk4ZjM4OThjMzY3ZDNiZThiOGZiY2U1YTgiLCJ1c2VySWQiOiI1NDE1OTIzMDIifQ==</vt:lpwstr>
  </property>
  <property fmtid="{D5CDD505-2E9C-101B-9397-08002B2CF9AE}" pid="4" name="KSOProductBuildVer">
    <vt:lpwstr>2052-12.1.0.26895</vt:lpwstr>
  </property>
  <property fmtid="{D5CDD505-2E9C-101B-9397-08002B2CF9AE}" pid="5" name="ICV">
    <vt:lpwstr>DC6AFC5ADA9B412C9A651B7C551DAC68_13</vt:lpwstr>
  </property>
</Properties>
</file>