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/>
      </w:pPr>
      <w:r>
        <w:rPr>
          <w:rFonts w:ascii="Arial" w:hAnsi="Arial" w:cs="Arial"/>
          <w:b/>
          <w:bCs/>
          <w:color w:val="1F3864"/>
          <w:sz w:val="34"/>
          <w:szCs w:val="34"/>
        </w:rPr>
        <w:t xml:space="preserve">Compute Economics — Executive Brief</w:t>
      </w:r>
    </w:p>
    <w:p>
      <w:pPr>
        <w:spacing w:before="0" w:after="40"/>
      </w:pPr>
      <w:r>
        <w:rPr>
          <w:rFonts w:ascii="Arial" w:hAnsi="Arial" w:cs="Arial"/>
          <w:i/>
          <w:iCs/>
          <w:color w:val="595959"/>
          <w:sz w:val="20"/>
          <w:szCs w:val="20"/>
        </w:rPr>
        <w:t xml:space="preserve">Integrating five models into a single compute-margin view — the cross-functional decision artifact.</w:t>
      </w:r>
    </w:p>
    <w:p>
      <w:pPr>
        <w:spacing w:before="0" w:after="60"/>
      </w:pPr>
      <w:r>
        <w:rPr>
          <w:rFonts w:ascii="Arial" w:hAnsi="Arial" w:cs="Arial"/>
          <w:color w:val="595959"/>
          <w:sz w:val="16"/>
          <w:szCs w:val="16"/>
        </w:rPr>
        <w:t xml:space="preserve">Synthetic portfolio   ·   R. A. Dapaah   ·   </w:t>
      </w:r>
      <w:hyperlink r:id="rId2" w:history="1">
        <w:r>
          <w:rPr>
            <w:rFonts w:ascii="Arial" w:hAnsi="Arial" w:cs="Arial"/>
            <w:u w:val="single"/>
            <w:color w:val="1F3864"/>
            <w:sz w:val="16"/>
            <w:szCs w:val="16"/>
          </w:rPr>
          <w:t xml:space="preserve">github.com/dapaah/compute-economics-portfolio</w:t>
        </w:r>
      </w:hyperlink>
    </w:p>
    <w:p>
      <w:pPr>
        <w:pBdr>
          <w:bottom w:val="single" w:sz="6" w:space="2" w:color="1F3864"/>
        </w:pBdr>
        <w:spacing w:before="180" w:after="90"/>
      </w:pPr>
      <w:r>
        <w:rPr>
          <w:rFonts w:ascii="Arial" w:hAnsi="Arial" w:cs="Arial"/>
          <w:b/>
          <w:bCs/>
          <w:caps/>
          <w:color w:val="1F3864"/>
          <w:sz w:val="22"/>
          <w:szCs w:val="22"/>
        </w:rPr>
        <w:t xml:space="preserve">Five Headline Insights</w:t>
      </w:r>
    </w:p>
    <w:p>
      <w:pPr>
        <w:spacing w:before="0" w:after="110" w:line="252" w:lineRule="auto"/>
        <w:ind w:left="360" w:hanging="360"/>
      </w:pPr>
      <w:r>
        <w:rPr>
          <w:rFonts w:ascii="Arial" w:hAnsi="Arial" w:cs="Arial"/>
          <w:b/>
          <w:bCs/>
          <w:color w:val="1F3864"/>
          <w:sz w:val="20"/>
          <w:szCs w:val="20"/>
        </w:rPr>
        <w:t xml:space="preserve">1   </w:t>
      </w:r>
      <w:r>
        <w:rPr>
          <w:rFonts w:ascii="Arial" w:hAnsi="Arial" w:cs="Arial"/>
          <w:b/>
          <w:bCs/>
          <w:color w:val="1A1A1A"/>
          <w:sz w:val="20"/>
          <w:szCs w:val="20"/>
        </w:rPr>
        <w:t xml:space="preserve">Cost per token is a throughput problem.  </w:t>
      </w:r>
      <w:r>
        <w:rPr>
          <w:rFonts w:ascii="Arial" w:hAnsi="Arial" w:cs="Arial"/>
          <w:color w:val="1A1A1A"/>
          <w:sz w:val="20"/>
          <w:szCs w:val="20"/>
        </w:rPr>
        <w:t xml:space="preserve">ProductC runs ~17% above blended cost per 1K output tokens — driven by decode-bound output intensity, not volume. Cost is ~75% compute.</w:t>
      </w:r>
    </w:p>
    <w:p>
      <w:pPr>
        <w:spacing w:before="0" w:after="110" w:line="252" w:lineRule="auto"/>
        <w:ind w:left="360" w:hanging="360"/>
      </w:pPr>
      <w:r>
        <w:rPr>
          <w:rFonts w:ascii="Arial" w:hAnsi="Arial" w:cs="Arial"/>
          <w:b/>
          <w:bCs/>
          <w:color w:val="1F3864"/>
          <w:sz w:val="20"/>
          <w:szCs w:val="20"/>
        </w:rPr>
        <w:t xml:space="preserve">2   </w:t>
      </w:r>
      <w:r>
        <w:rPr>
          <w:rFonts w:ascii="Arial" w:hAnsi="Arial" w:cs="Arial"/>
          <w:b/>
          <w:bCs/>
          <w:color w:val="1A1A1A"/>
          <w:sz w:val="20"/>
          <w:szCs w:val="20"/>
        </w:rPr>
        <w:t xml:space="preserve">Batching is the direct cost lever, bounded by latency.  </w:t>
      </w:r>
      <w:r>
        <w:rPr>
          <w:rFonts w:ascii="Arial" w:hAnsi="Arial" w:cs="Arial"/>
          <w:color w:val="1A1A1A"/>
          <w:sz w:val="20"/>
          <w:szCs w:val="20"/>
        </w:rPr>
        <w:t xml:space="preserve">Raising the interactive batch from ~3 to ~14 cuts cost per inference ~39% (+72 ms); the margin-optimal batch under a 150 ms SLO is 16.</w:t>
      </w:r>
    </w:p>
    <w:p>
      <w:pPr>
        <w:spacing w:before="0" w:after="110" w:line="252" w:lineRule="auto"/>
        <w:ind w:left="360" w:hanging="360"/>
      </w:pPr>
      <w:r>
        <w:rPr>
          <w:rFonts w:ascii="Arial" w:hAnsi="Arial" w:cs="Arial"/>
          <w:b/>
          <w:bCs/>
          <w:color w:val="1F3864"/>
          <w:sz w:val="20"/>
          <w:szCs w:val="20"/>
        </w:rPr>
        <w:t xml:space="preserve">3   </w:t>
      </w:r>
      <w:r>
        <w:rPr>
          <w:rFonts w:ascii="Arial" w:hAnsi="Arial" w:cs="Arial"/>
          <w:b/>
          <w:bCs/>
          <w:color w:val="1A1A1A"/>
          <w:sz w:val="20"/>
          <w:szCs w:val="20"/>
        </w:rPr>
        <w:t xml:space="preserve">Caching is the highest-quality lever.  </w:t>
      </w:r>
      <w:r>
        <w:rPr>
          <w:rFonts w:ascii="Arial" w:hAnsi="Arial" w:cs="Arial"/>
          <w:color w:val="1A1A1A"/>
          <w:sz w:val="20"/>
          <w:szCs w:val="20"/>
        </w:rPr>
        <w:t xml:space="preserve">Each +10 points of cache-hit rate cuts effective cost per inference ~11.8% — ≈ $2.3M / year at 1B inferences/day — with no latency penalty.</w:t>
      </w:r>
    </w:p>
    <w:p>
      <w:pPr>
        <w:spacing w:before="0" w:after="110" w:line="252" w:lineRule="auto"/>
        <w:ind w:left="360" w:hanging="360"/>
      </w:pPr>
      <w:r>
        <w:rPr>
          <w:rFonts w:ascii="Arial" w:hAnsi="Arial" w:cs="Arial"/>
          <w:b/>
          <w:bCs/>
          <w:color w:val="1F3864"/>
          <w:sz w:val="20"/>
          <w:szCs w:val="20"/>
        </w:rPr>
        <w:t xml:space="preserve">4   </w:t>
      </w:r>
      <w:r>
        <w:rPr>
          <w:rFonts w:ascii="Arial" w:hAnsi="Arial" w:cs="Arial"/>
          <w:b/>
          <w:bCs/>
          <w:color w:val="1A1A1A"/>
          <w:sz w:val="20"/>
          <w:szCs w:val="20"/>
        </w:rPr>
        <w:t xml:space="preserve">Demand sets the capital ask.  </w:t>
      </w:r>
      <w:r>
        <w:rPr>
          <w:rFonts w:ascii="Arial" w:hAnsi="Arial" w:cs="Arial"/>
          <w:color w:val="1A1A1A"/>
          <w:sz w:val="20"/>
          <w:szCs w:val="20"/>
        </w:rPr>
        <w:t xml:space="preserve">Usage compounds ~2.4× / year; the fleet scales from ~1,260 to ~1,985 GPUs (base) within a year — ≈ $22M of take-or-pay capital (band ~1,770–2,200).</w:t>
      </w:r>
    </w:p>
    <w:p>
      <w:pPr>
        <w:spacing w:before="0" w:after="110" w:line="252" w:lineRule="auto"/>
        <w:ind w:left="360" w:hanging="360"/>
      </w:pPr>
      <w:r>
        <w:rPr>
          <w:rFonts w:ascii="Arial" w:hAnsi="Arial" w:cs="Arial"/>
          <w:b/>
          <w:bCs/>
          <w:color w:val="1F3864"/>
          <w:sz w:val="20"/>
          <w:szCs w:val="20"/>
        </w:rPr>
        <w:t xml:space="preserve">5   </w:t>
      </w:r>
      <w:r>
        <w:rPr>
          <w:rFonts w:ascii="Arial" w:hAnsi="Arial" w:cs="Arial"/>
          <w:b/>
          <w:bCs/>
          <w:color w:val="1A1A1A"/>
          <w:sz w:val="20"/>
          <w:szCs w:val="20"/>
        </w:rPr>
        <w:t xml:space="preserve">Utilisation, not mix, is the remaining margin lever.  </w:t>
      </w:r>
      <w:r>
        <w:rPr>
          <w:rFonts w:ascii="Arial" w:hAnsi="Arial" w:cs="Arial"/>
          <w:color w:val="1A1A1A"/>
          <w:sz w:val="20"/>
          <w:szCs w:val="20"/>
        </w:rPr>
        <w:t xml:space="preserve">A GPU-second earns ~47% more margin in interactive than batch, but capacity is already ~77% interactive; the live lever is lifting utilisation from ~76% toward the ~85% ceiling.</w:t>
      </w:r>
    </w:p>
    <w:p>
      <w:pPr>
        <w:pBdr>
          <w:bottom w:val="single" w:sz="6" w:space="2" w:color="1F3864"/>
        </w:pBdr>
        <w:spacing w:before="180" w:after="90"/>
      </w:pPr>
      <w:r>
        <w:rPr>
          <w:rFonts w:ascii="Arial" w:hAnsi="Arial" w:cs="Arial"/>
          <w:b/>
          <w:bCs/>
          <w:caps/>
          <w:color w:val="1F3864"/>
          <w:sz w:val="22"/>
          <w:szCs w:val="22"/>
        </w:rPr>
        <w:t xml:space="preserve">The Integrated Story</w:t>
      </w:r>
    </w:p>
    <w:p>
      <w:pPr>
        <w:spacing w:before="0" w:after="110" w:line="252" w:lineRule="auto"/>
      </w:pPr>
      <w:r>
        <w:rPr>
          <w:rFonts w:ascii="Arial" w:hAnsi="Arial" w:cs="Arial"/>
          <w:b/>
          <w:bCs/>
          <w:color w:val="1F3864"/>
          <w:sz w:val="20"/>
          <w:szCs w:val="20"/>
        </w:rPr>
        <w:t xml:space="preserve">cost → cache → demand → allocation → margin.  </w:t>
      </w:r>
      <w:r>
        <w:rPr>
          <w:rFonts w:ascii="Arial" w:hAnsi="Arial" w:cs="Arial"/>
          <w:color w:val="1A1A1A"/>
          <w:sz w:val="20"/>
          <w:szCs w:val="20"/>
        </w:rPr>
        <w:t xml:space="preserve">Margin on a compute fleet is won by raising effective throughput per GPU-second. Cost originates in the decode phase; two levers reduce it — caching first, because it carries no latency penalty, then batching up to the SLO. Demand compounding ~2.4×/year sets the scale of the capital bet, and because capacity already favours the high-margin interactive tier, the binding constraint is utilisation rather than further mix shifts.</w:t>
      </w:r>
    </w:p>
    <w:p>
      <w:pPr>
        <w:pBdr>
          <w:bottom w:val="single" w:sz="6" w:space="2" w:color="1F3864"/>
        </w:pBdr>
        <w:spacing w:before="180" w:after="90"/>
      </w:pPr>
      <w:r>
        <w:rPr>
          <w:rFonts w:ascii="Arial" w:hAnsi="Arial" w:cs="Arial"/>
          <w:b/>
          <w:bCs/>
          <w:caps/>
          <w:color w:val="1F3864"/>
          <w:sz w:val="22"/>
          <w:szCs w:val="22"/>
        </w:rPr>
        <w:t xml:space="preserve">Decisions This Informs</w:t>
      </w:r>
    </w:p>
    <w:p>
      <w:pPr>
        <w:spacing w:before="0" w:after="90" w:line="252" w:lineRule="auto"/>
        <w:ind w:left="300" w:hanging="300"/>
      </w:pPr>
      <w:r>
        <w:rPr>
          <w:rFonts w:ascii="Arial" w:hAnsi="Arial" w:cs="Arial"/>
          <w:b/>
          <w:bCs/>
          <w:color w:val="B26A00"/>
          <w:sz w:val="20"/>
          <w:szCs w:val="20"/>
        </w:rPr>
        <w:t xml:space="preserve">—  </w:t>
      </w:r>
      <w:r>
        <w:rPr>
          <w:rFonts w:ascii="Arial" w:hAnsi="Arial" w:cs="Arial"/>
          <w:b/>
          <w:bCs/>
          <w:color w:val="1A1A1A"/>
          <w:sz w:val="20"/>
          <w:szCs w:val="20"/>
        </w:rPr>
        <w:t xml:space="preserve">Pricing / routing: </w:t>
      </w:r>
      <w:r>
        <w:rPr>
          <w:rFonts w:ascii="Arial" w:hAnsi="Arial" w:cs="Arial"/>
          <w:color w:val="1A1A1A"/>
          <w:sz w:val="20"/>
          <w:szCs w:val="20"/>
        </w:rPr>
        <w:t xml:space="preserve">reprice or route output-heavy ProductC to higher-throughput GPUs (H200/B200).</w:t>
      </w:r>
    </w:p>
    <w:p>
      <w:pPr>
        <w:spacing w:before="0" w:after="90" w:line="252" w:lineRule="auto"/>
        <w:ind w:left="300" w:hanging="300"/>
      </w:pPr>
      <w:r>
        <w:rPr>
          <w:rFonts w:ascii="Arial" w:hAnsi="Arial" w:cs="Arial"/>
          <w:b/>
          <w:bCs/>
          <w:color w:val="B26A00"/>
          <w:sz w:val="20"/>
          <w:szCs w:val="20"/>
        </w:rPr>
        <w:t xml:space="preserve">—  </w:t>
      </w:r>
      <w:r>
        <w:rPr>
          <w:rFonts w:ascii="Arial" w:hAnsi="Arial" w:cs="Arial"/>
          <w:b/>
          <w:bCs/>
          <w:color w:val="1A1A1A"/>
          <w:sz w:val="20"/>
          <w:szCs w:val="20"/>
        </w:rPr>
        <w:t xml:space="preserve">Engineering ROI: </w:t>
      </w:r>
      <w:r>
        <w:rPr>
          <w:rFonts w:ascii="Arial" w:hAnsi="Arial" w:cs="Arial"/>
          <w:color w:val="1A1A1A"/>
          <w:sz w:val="20"/>
          <w:szCs w:val="20"/>
        </w:rPr>
        <w:t xml:space="preserve">fund cache-hit improvements — ~$2.3M per +10 points clears most engineering costs.</w:t>
      </w:r>
    </w:p>
    <w:p>
      <w:pPr>
        <w:spacing w:before="0" w:after="90" w:line="252" w:lineRule="auto"/>
        <w:ind w:left="300" w:hanging="300"/>
      </w:pPr>
      <w:r>
        <w:rPr>
          <w:rFonts w:ascii="Arial" w:hAnsi="Arial" w:cs="Arial"/>
          <w:b/>
          <w:bCs/>
          <w:color w:val="B26A00"/>
          <w:sz w:val="20"/>
          <w:szCs w:val="20"/>
        </w:rPr>
        <w:t xml:space="preserve">—  </w:t>
      </w:r>
      <w:r>
        <w:rPr>
          <w:rFonts w:ascii="Arial" w:hAnsi="Arial" w:cs="Arial"/>
          <w:b/>
          <w:bCs/>
          <w:color w:val="1A1A1A"/>
          <w:sz w:val="20"/>
          <w:szCs w:val="20"/>
        </w:rPr>
        <w:t xml:space="preserve">Capital: </w:t>
      </w:r>
      <w:r>
        <w:rPr>
          <w:rFonts w:ascii="Arial" w:hAnsi="Arial" w:cs="Arial"/>
          <w:color w:val="1A1A1A"/>
          <w:sz w:val="20"/>
          <w:szCs w:val="20"/>
        </w:rPr>
        <w:t xml:space="preserve">stage GPU procurement against the ~430-GPU downside/upside band, not a single commit.</w:t>
      </w:r>
    </w:p>
    <w:p>
      <w:pPr>
        <w:spacing w:before="0" w:after="90" w:line="252" w:lineRule="auto"/>
        <w:ind w:left="300" w:hanging="300"/>
      </w:pPr>
      <w:r>
        <w:rPr>
          <w:rFonts w:ascii="Arial" w:hAnsi="Arial" w:cs="Arial"/>
          <w:b/>
          <w:bCs/>
          <w:color w:val="B26A00"/>
          <w:sz w:val="20"/>
          <w:szCs w:val="20"/>
        </w:rPr>
        <w:t xml:space="preserve">—  </w:t>
      </w:r>
      <w:r>
        <w:rPr>
          <w:rFonts w:ascii="Arial" w:hAnsi="Arial" w:cs="Arial"/>
          <w:b/>
          <w:bCs/>
          <w:color w:val="1A1A1A"/>
          <w:sz w:val="20"/>
          <w:szCs w:val="20"/>
        </w:rPr>
        <w:t xml:space="preserve">Operations: </w:t>
      </w:r>
      <w:r>
        <w:rPr>
          <w:rFonts w:ascii="Arial" w:hAnsi="Arial" w:cs="Arial"/>
          <w:color w:val="1A1A1A"/>
          <w:sz w:val="20"/>
          <w:szCs w:val="20"/>
        </w:rPr>
        <w:t xml:space="preserve">drive utilisation toward ~85% under the latency SLO as the primary remaining margin lever.</w:t>
      </w:r>
    </w:p>
    <w:p>
      <w:pPr>
        <w:spacing w:before="160" w:after="0"/>
      </w:pPr>
      <w:r>
        <w:rPr>
          <w:rFonts w:ascii="Arial" w:hAnsi="Arial" w:cs="Arial"/>
          <w:i/>
          <w:iCs/>
          <w:color w:val="595959"/>
          <w:sz w:val="15"/>
          <w:szCs w:val="15"/>
        </w:rPr>
        <w:t xml:space="preserve">Illustrative figures from a synthetic 120,000-event inference dataset; the framework scales linearly to production volume. Full data pipeline and five model notebooks: github.com/dapaah/compute-economics-portfolio</w:t>
      </w:r>
    </w:p>
    <w:sectPr>
      <w:pgSz w:w="12240" w:h="15840"/>
      <w:pgMar w:top="1000" w:right="1080" w:bottom="90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dapaah/compute-economics-portfolio" TargetMode="External"/></Relationships>
</file>