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张江汤臣豪园四期垃圾分类</w:t>
      </w:r>
      <w:r>
        <w:rPr>
          <w:rFonts w:hint="eastAsia"/>
          <w:b/>
          <w:sz w:val="32"/>
          <w:szCs w:val="32"/>
        </w:rPr>
        <w:t>告知书</w:t>
      </w:r>
    </w:p>
    <w:p>
      <w:pPr>
        <w:spacing w:line="400" w:lineRule="exact"/>
        <w:jc w:val="left"/>
      </w:pPr>
      <w:r>
        <w:rPr>
          <w:rFonts w:hint="eastAsia"/>
          <w:lang w:eastAsia="zh-CN"/>
        </w:rPr>
        <w:t>尊敬的租户</w:t>
      </w:r>
      <w:r>
        <w:rPr>
          <w:rFonts w:hint="eastAsia"/>
        </w:rPr>
        <w:t>：</w:t>
      </w:r>
    </w:p>
    <w:p>
      <w:pPr>
        <w:spacing w:line="400" w:lineRule="exact"/>
        <w:ind w:firstLine="420" w:firstLineChars="200"/>
      </w:pPr>
      <w:r>
        <w:rPr>
          <w:rFonts w:hint="eastAsia"/>
        </w:rPr>
        <w:t>为积极响应市委、市政府号召，贯彻落实《上海市生活垃圾管理条例》，做改善环境的先行者、环境保护的践行者，认真实践可持续发展的生活理念。自</w:t>
      </w:r>
      <w:r>
        <w:rPr>
          <w:rFonts w:hint="eastAsia"/>
          <w:b/>
        </w:rPr>
        <w:t>2019年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月</w:t>
      </w:r>
      <w:r>
        <w:rPr>
          <w:rFonts w:hint="eastAsia"/>
          <w:b/>
          <w:lang w:val="en-US" w:eastAsia="zh-CN"/>
        </w:rPr>
        <w:t>23</w:t>
      </w:r>
      <w:r>
        <w:rPr>
          <w:rFonts w:hint="eastAsia"/>
          <w:b/>
        </w:rPr>
        <w:t>日</w:t>
      </w:r>
      <w:r>
        <w:rPr>
          <w:rFonts w:hint="eastAsia"/>
        </w:rPr>
        <w:t>起，</w:t>
      </w:r>
      <w:r>
        <w:rPr>
          <w:rFonts w:hint="eastAsia"/>
          <w:lang w:eastAsia="zh-CN"/>
        </w:rPr>
        <w:t>全面推行生活垃圾定时定点投放</w:t>
      </w:r>
      <w:r>
        <w:rPr>
          <w:rFonts w:hint="eastAsia"/>
        </w:rPr>
        <w:t>。</w:t>
      </w:r>
    </w:p>
    <w:p>
      <w:pPr>
        <w:ind w:firstLine="42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151765</wp:posOffset>
                </wp:positionV>
                <wp:extent cx="5054600" cy="6254115"/>
                <wp:effectExtent l="0" t="0" r="12700" b="1333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625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after="0" w:afterLines="58"/>
                              <w:ind w:leftChars="0"/>
                              <w:jc w:val="center"/>
                              <w:textAlignment w:val="auto"/>
                              <w:rPr>
                                <w:rFonts w:hint="eastAsia" w:asciiTheme="minorEastAsia" w:hAnsiTheme="minorEastAsia" w:eastAsiaTheme="minorEastAsia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lang w:eastAsia="zh-CN"/>
                              </w:rPr>
                              <w:t>如何进行垃圾分类？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20" w:after="0" w:afterLines="20"/>
                              <w:ind w:left="448" w:hanging="448" w:firstLineChars="0"/>
                              <w:textAlignment w:val="auto"/>
                              <w:rPr>
                                <w:rFonts w:asciiTheme="minorEastAsia" w:hAnsi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lang w:eastAsia="zh-CN"/>
                              </w:rPr>
                              <w:t>上海市生活垃圾四分类标准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lang w:val="en-US" w:eastAsia="zh-CN"/>
                              </w:rPr>
                              <w:t xml:space="preserve"> 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有害垃圾（红色）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废电池、废荧光灯管、其他（水银温度计、过期药品、油气管、杀虫剂罐、X光片等感光胶片）等含有害物质，需要特殊安全处理的生活废弃物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可回收物（蓝色）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废玻璃、废纸、废金属、废旧衣物、废塑料、电子废弃物等适宜回循环使用和资源利用的废弃物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湿垃圾（棕色）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剩菜剩饭、零食、调味品、干货（风干食品）、盆栽植物等易腐性的菜叶、果壳、食物残渣等有机废弃物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干垃圾（黑色）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除其他三类外的其他垃圾，常见如：纸巾、尿不湿、薄形塑料袋、灰土、陶瓷，其中不易腐烂的也是干垃圾哦，如大骨、贝壳等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20" w:after="0" w:afterLines="20"/>
                              <w:ind w:leftChars="0"/>
                              <w:jc w:val="left"/>
                              <w:textAlignment w:val="auto"/>
                              <w:rPr>
                                <w:rFonts w:hint="eastAsia" w:asciiTheme="minorEastAsia" w:hAnsiTheme="minorEastAsia"/>
                                <w:b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二、本小区分类设施的设置位置及垃圾投放时间：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本小区设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定时定点投放点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个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，分别位于：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firstLine="240" w:firstLineChars="100"/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小区北门口（58号前）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firstLine="240" w:firstLineChars="100"/>
                              <w:rPr>
                                <w:rFonts w:hint="eastAsia" w:asciiTheme="minorEastAsia" w:hAnsiTheme="minorEastAsia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小区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东南侧变电站旁（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7号北侧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firstLine="240" w:firstLineChars="100"/>
                              <w:rPr>
                                <w:rFonts w:hint="eastAsia" w:asciiTheme="minorEastAsia" w:hAnsiTheme="minorEastAsia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小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区垃圾箱房（12号旁）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firstLine="240" w:firstLineChars="100"/>
                              <w:rPr>
                                <w:rFonts w:hint="eastAsia" w:asciiTheme="minorEastAsia" w:hAnsiTheme="minorEastAsia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小区</w:t>
                            </w: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25号与44号中门道路。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投放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时间：上午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：0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—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：0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，下午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—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30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20" w:after="0" w:afterLines="20"/>
                              <w:ind w:left="448" w:hanging="448" w:firstLineChars="0"/>
                              <w:textAlignment w:val="auto"/>
                              <w:rPr>
                                <w:rFonts w:hint="eastAsia" w:asciiTheme="minorEastAsia" w:hAnsi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lang w:eastAsia="zh-CN"/>
                              </w:rPr>
                              <w:t>大分流体系：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大件垃圾、装潢垃圾、枯枝落叶等，将实行预约制度，及时与物业联系，做到“垃圾不落地、不混装”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《上海市生活垃圾管理条例》提醒您：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个人将有害垃圾与湿垃圾、干垃圾、可回收物，或者将湿垃圾与可回收物、干垃圾混合投放的，由城管执法部门责令立即整改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拒不整改的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 xml:space="preserve"> 罚款50~200元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0.65pt;margin-top:11.95pt;height:492.45pt;width:398pt;z-index:251659264;mso-width-relative:page;mso-height-relative:page;" fillcolor="#FFFFFF" filled="t" stroked="t" coordsize="21600,21600" o:gfxdata="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MgJwNkAAAAKAQAADwAA&#10;AAAAAAABACAAAAAiAAAAZHJzL2Rvd25yZXYueG1sUEsBAhQAFAAAAAgAh07iQOFambYVAgAAOQQA&#10;AA4AAAAAAAAAAQAgAAAAKA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after="0" w:afterLines="58"/>
                        <w:ind w:leftChars="0"/>
                        <w:jc w:val="center"/>
                        <w:textAlignment w:val="auto"/>
                        <w:rPr>
                          <w:rFonts w:hint="eastAsia" w:asciiTheme="minorEastAsia" w:hAnsiTheme="minorEastAsia" w:eastAsiaTheme="minorEastAsia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lang w:eastAsia="zh-CN"/>
                        </w:rPr>
                        <w:t>如何进行垃圾分类？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20" w:after="0" w:afterLines="20"/>
                        <w:ind w:left="448" w:hanging="448" w:firstLineChars="0"/>
                        <w:textAlignment w:val="auto"/>
                        <w:rPr>
                          <w:rFonts w:asciiTheme="minorEastAsia" w:hAnsiTheme="minorEastAsia"/>
                          <w:b/>
                          <w:bCs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bCs/>
                          <w:lang w:eastAsia="zh-CN"/>
                        </w:rPr>
                        <w:t>上海市生活垃圾四分类标准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lang w:val="en-US" w:eastAsia="zh-CN"/>
                        </w:rPr>
                        <w:t xml:space="preserve"> 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有害垃圾（红色）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废电池、废荧光灯管、其他（水银温度计、过期药品、油气管、杀虫剂罐、X光片等感光胶片）等含有害物质，需要特殊安全处理的生活废弃物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可回收物（蓝色）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废玻璃、废纸、废金属、废旧衣物、废塑料、电子废弃物等适宜回循环使用和资源利用的废弃物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湿垃圾（棕色）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剩菜剩饭、零食、调味品、干货（风干食品）、盆栽植物等易腐性的菜叶、果壳、食物残渣等有机废弃物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干垃圾（黑色）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除其他三类外的其他垃圾，常见如：纸巾、尿不湿、薄形塑料袋、灰土、陶瓷，其中不易腐烂的也是干垃圾哦，如大骨、贝壳等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20" w:after="0" w:afterLines="20"/>
                        <w:ind w:leftChars="0"/>
                        <w:jc w:val="left"/>
                        <w:textAlignment w:val="auto"/>
                        <w:rPr>
                          <w:rFonts w:hint="eastAsia" w:asciiTheme="minorEastAsia" w:hAnsiTheme="minorEastAsia"/>
                          <w:b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1"/>
                          <w:szCs w:val="21"/>
                          <w:lang w:eastAsia="zh-CN"/>
                        </w:rPr>
                        <w:t>二、本小区分类设施的设置位置及垃圾投放时间：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</w:rPr>
                        <w:t>本小区设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定时定点投放点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个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</w:rPr>
                        <w:t>，分别位于：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firstLine="240" w:firstLineChars="100"/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小区北门口（58号前）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firstLine="240" w:firstLineChars="100"/>
                        <w:rPr>
                          <w:rFonts w:hint="eastAsia" w:asciiTheme="minorEastAsia" w:hAnsiTheme="minorEastAsia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</w:rPr>
                        <w:t>小区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东南侧变电站旁（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7号北侧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）；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firstLine="240" w:firstLineChars="100"/>
                        <w:rPr>
                          <w:rFonts w:hint="eastAsia" w:asciiTheme="minorEastAsia" w:hAnsiTheme="minorEastAsia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Theme="minorEastAsia" w:hAnsiTheme="minorEastAsia"/>
                          <w:b w:val="0"/>
                          <w:bCs w:val="0"/>
                          <w:sz w:val="24"/>
                          <w:szCs w:val="24"/>
                        </w:rPr>
                        <w:t>小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区垃圾箱房（12号旁）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firstLine="240" w:firstLineChars="100"/>
                        <w:rPr>
                          <w:rFonts w:hint="eastAsia" w:asciiTheme="minorEastAsia" w:hAnsiTheme="minorEastAsia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</w:rPr>
                        <w:t>小区</w:t>
                      </w: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25号与44号中门道路。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投放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时间：上午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：0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—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：0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，下午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30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—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30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20" w:after="0" w:afterLines="20"/>
                        <w:ind w:left="448" w:hanging="448" w:firstLineChars="0"/>
                        <w:textAlignment w:val="auto"/>
                        <w:rPr>
                          <w:rFonts w:hint="eastAsia" w:asciiTheme="minorEastAsia" w:hAnsi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bCs/>
                          <w:lang w:eastAsia="zh-CN"/>
                        </w:rPr>
                        <w:t>大分流体系：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大件垃圾、装潢垃圾、枯枝落叶等，将实行预约制度，及时与物业联系，做到“垃圾不落地、不混装”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《上海市生活垃圾管理条例》提醒您：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个人将有害垃圾与湿垃圾、干垃圾、可回收物，或者将湿垃圾与可回收物、干垃圾混合投放的，由城管执法部门责令立即整改</w:t>
                      </w:r>
                    </w:p>
                    <w:p>
                      <w:pPr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拒不整改的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罚款50~200元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83185</wp:posOffset>
                </wp:positionV>
                <wp:extent cx="5218430" cy="6470015"/>
                <wp:effectExtent l="0" t="0" r="2032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8430" cy="64698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.5pt;margin-top:6.55pt;height:509.45pt;width:410.9pt;z-index:251658240;mso-width-relative:page;mso-height-relative:page;" fillcolor="#FFFFFF" filled="t" stroked="t" coordsize="21600,21600" o:gfxdata="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1YJr3WAAAACQEAAA8AAAAAAAAAAQAgAAAA&#10;IgAAAGRycy9kb3ducmV2LnhtbFBLAQIUABQAAAAIAIdO4kDfs5DLDQIAACUEAAAOAAAAAAAAAAEA&#10;IAAAACUBAABkcnMvZTJvRG9jLnhtbFBLBQYAAAAABgAGAFkBAACk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Arial" w:hAnsi="Arial" w:cs="Arial"/>
          <w:color w:val="333333"/>
          <w:sz w:val="22"/>
          <w:shd w:val="clear" w:color="auto" w:fill="FFFFFF"/>
        </w:rPr>
        <w:t xml:space="preserve">                                                                                                                   </w:t>
      </w: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spacing w:line="400" w:lineRule="exact"/>
        <w:ind w:firstLine="420" w:firstLineChars="200"/>
        <w:jc w:val="left"/>
      </w:pPr>
    </w:p>
    <w:p>
      <w:pPr>
        <w:spacing w:line="400" w:lineRule="exact"/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本人已阅读本告知书，知晓其内容。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firstLine="210" w:firstLineChars="1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租户签字：</w:t>
      </w:r>
      <w:r>
        <w:rPr>
          <w:rFonts w:hint="eastAsia"/>
          <w:lang w:val="en-US" w:eastAsia="zh-CN"/>
        </w:rPr>
        <w:t xml:space="preserve">               日期：      年     月   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firstLine="420" w:firstLineChars="200"/>
        <w:jc w:val="left"/>
        <w:textAlignment w:val="auto"/>
        <w:rPr>
          <w:rFonts w:hint="eastAsia"/>
          <w:lang w:val="en-US" w:eastAsia="zh-CN"/>
        </w:rPr>
      </w:pPr>
    </w:p>
    <w:p>
      <w:pPr>
        <w:spacing w:line="400" w:lineRule="exact"/>
        <w:ind w:firstLine="420" w:firstLineChars="2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spacing w:before="156" w:beforeLines="50"/>
        <w:ind w:firstLine="6160" w:firstLineChars="2800"/>
        <w:rPr>
          <w:rFonts w:ascii="宋体" w:cs="宋体"/>
          <w:sz w:val="22"/>
        </w:rPr>
      </w:pPr>
    </w:p>
    <w:sectPr>
      <w:pgSz w:w="11906" w:h="16838"/>
      <w:pgMar w:top="567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8512"/>
    <w:multiLevelType w:val="singleLevel"/>
    <w:tmpl w:val="1137851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3A04293"/>
    <w:multiLevelType w:val="multilevel"/>
    <w:tmpl w:val="63A0429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79426E"/>
    <w:multiLevelType w:val="multilevel"/>
    <w:tmpl w:val="7679426E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28"/>
    <w:rsid w:val="0002429D"/>
    <w:rsid w:val="00085591"/>
    <w:rsid w:val="00093ED2"/>
    <w:rsid w:val="000F3E66"/>
    <w:rsid w:val="00103F0A"/>
    <w:rsid w:val="00122395"/>
    <w:rsid w:val="001A347F"/>
    <w:rsid w:val="001D724E"/>
    <w:rsid w:val="0020210D"/>
    <w:rsid w:val="00202BE5"/>
    <w:rsid w:val="00231B94"/>
    <w:rsid w:val="00272D04"/>
    <w:rsid w:val="002753DB"/>
    <w:rsid w:val="002764EE"/>
    <w:rsid w:val="002F3F1D"/>
    <w:rsid w:val="003073FC"/>
    <w:rsid w:val="003075A6"/>
    <w:rsid w:val="003422A9"/>
    <w:rsid w:val="00434660"/>
    <w:rsid w:val="004505A9"/>
    <w:rsid w:val="005048F6"/>
    <w:rsid w:val="0051407A"/>
    <w:rsid w:val="005220FC"/>
    <w:rsid w:val="00533BB0"/>
    <w:rsid w:val="005504F1"/>
    <w:rsid w:val="00573242"/>
    <w:rsid w:val="00580944"/>
    <w:rsid w:val="00585723"/>
    <w:rsid w:val="005A38CF"/>
    <w:rsid w:val="005B78E7"/>
    <w:rsid w:val="0060620F"/>
    <w:rsid w:val="006754FA"/>
    <w:rsid w:val="006A5401"/>
    <w:rsid w:val="006B092E"/>
    <w:rsid w:val="006D618E"/>
    <w:rsid w:val="006E4BCB"/>
    <w:rsid w:val="00707E30"/>
    <w:rsid w:val="0072735F"/>
    <w:rsid w:val="007D1682"/>
    <w:rsid w:val="007D74E5"/>
    <w:rsid w:val="007F6385"/>
    <w:rsid w:val="00824F3B"/>
    <w:rsid w:val="008347EC"/>
    <w:rsid w:val="00840820"/>
    <w:rsid w:val="008553A9"/>
    <w:rsid w:val="008D5F7F"/>
    <w:rsid w:val="008F3976"/>
    <w:rsid w:val="009E0AB5"/>
    <w:rsid w:val="00A06E41"/>
    <w:rsid w:val="00A201AD"/>
    <w:rsid w:val="00A469ED"/>
    <w:rsid w:val="00A50EFC"/>
    <w:rsid w:val="00A65A81"/>
    <w:rsid w:val="00A87142"/>
    <w:rsid w:val="00AA173D"/>
    <w:rsid w:val="00AB077E"/>
    <w:rsid w:val="00AE6DB9"/>
    <w:rsid w:val="00B47EB1"/>
    <w:rsid w:val="00B815E4"/>
    <w:rsid w:val="00B85552"/>
    <w:rsid w:val="00BB3999"/>
    <w:rsid w:val="00BB4C3B"/>
    <w:rsid w:val="00BD1BB0"/>
    <w:rsid w:val="00BF6998"/>
    <w:rsid w:val="00C23F23"/>
    <w:rsid w:val="00C73FD0"/>
    <w:rsid w:val="00C93C50"/>
    <w:rsid w:val="00CB57E6"/>
    <w:rsid w:val="00CC53EC"/>
    <w:rsid w:val="00D02037"/>
    <w:rsid w:val="00D26B9F"/>
    <w:rsid w:val="00D34D8F"/>
    <w:rsid w:val="00E241FB"/>
    <w:rsid w:val="00EA6976"/>
    <w:rsid w:val="00EC1CF4"/>
    <w:rsid w:val="00EE3B3F"/>
    <w:rsid w:val="00F34228"/>
    <w:rsid w:val="00F366EC"/>
    <w:rsid w:val="00F80C0D"/>
    <w:rsid w:val="1D6F06C8"/>
    <w:rsid w:val="200C2EC0"/>
    <w:rsid w:val="2A894FDD"/>
    <w:rsid w:val="333175DD"/>
    <w:rsid w:val="5AE034A5"/>
    <w:rsid w:val="5CE57CC5"/>
    <w:rsid w:val="652955E4"/>
    <w:rsid w:val="7E16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bjh-p"/>
    <w:basedOn w:val="6"/>
    <w:uiPriority w:val="0"/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62</Words>
  <Characters>360</Characters>
  <Lines>3</Lines>
  <Paragraphs>1</Paragraphs>
  <TotalTime>1</TotalTime>
  <ScaleCrop>false</ScaleCrop>
  <LinksUpToDate>false</LinksUpToDate>
  <CharactersWithSpaces>421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2019-05-06T09:01:00Z</dcterms:created>
  <dc:creator>HP</dc:creator>
  <cp:lastModifiedBy>小小寅儿</cp:lastModifiedBy>
  <cp:lastPrinted>2019-12-26T05:24:51Z</cp:lastPrinted>
  <dcterms:modified xsi:type="dcterms:W3CDTF">2019-12-26T05:26:06Z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