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African Data Layer - Investor Pitch</w:t>
      </w:r>
    </w:p>
    <w:p>
      <w:pPr>
        <w:pStyle w:val="Subtitle"/>
        <w:jc w:val="center"/>
      </w:pPr>
      <w:r>
        <w:t>English co-founder sharing version | African Forward Summit, Nairobi | May 11, 2026</w:t>
      </w:r>
    </w:p>
    <w:p/>
    <w:tbl>
      <w:tblPr>
        <w:tblStyle w:val="TableGrid"/>
        <w:tblW w:type="dxa" w:w="9240"/>
        <w:jc w:val="center"/>
        <w:tblLook w:firstColumn="1" w:firstRow="1" w:lastColumn="0" w:lastRow="0" w:noHBand="0" w:noVBand="1" w:val="04A0"/>
        <w:tblInd w:w="120" w:type="dxa"/>
      </w:tblPr>
      <w:tblGrid>
        <w:gridCol w:w="9240"/>
      </w:tblGrid>
      <w:tr>
        <w:tc>
          <w:tcPr>
            <w:tcW w:type="dxa" w:w="9240"/>
            <w:tcMar>
              <w:top w:w="80" w:type="dxa"/>
              <w:start w:w="120" w:type="dxa"/>
              <w:bottom w:w="80" w:type="dxa"/>
              <w:end w:w="120" w:type="dxa"/>
            </w:tcMar>
            <w:vAlign w:val="top"/>
            <w:shd w:fill="EAF2F8"/>
          </w:tcPr>
          <w:p>
            <w:pPr>
              <w:spacing w:after="0"/>
            </w:pPr>
            <w:r>
              <w:rPr>
                <w:b/>
                <w:color w:val="091F36"/>
              </w:rPr>
              <w:t xml:space="preserve">Positioning statement: </w:t>
            </w:r>
            <w:r>
              <w:t>African Data Layer is the field-verified data layer for African cities, turning photo-and-GPS submissions from local contributors into trusted weekly infrastructure and market deltas for enterprises, governments, and development teams.</w:t>
            </w:r>
          </w:p>
        </w:tc>
      </w:tr>
    </w:tbl>
    <w:p/>
    <w:tbl>
      <w:tblPr>
        <w:tblStyle w:val="TableGrid"/>
        <w:tblW w:type="dxa" w:w="9240"/>
        <w:jc w:val="center"/>
        <w:tblLook w:firstColumn="1" w:firstRow="1" w:lastColumn="0" w:lastRow="0" w:noHBand="0" w:noVBand="1" w:val="04A0"/>
        <w:tblInd w:w="120" w:type="dxa"/>
      </w:tblPr>
      <w:tblGrid>
        <w:gridCol w:w="9240"/>
      </w:tblGrid>
      <w:tr>
        <w:tc>
          <w:tcPr>
            <w:tcW w:type="dxa" w:w="9240"/>
            <w:tcMar>
              <w:top w:w="80" w:type="dxa"/>
              <w:start w:w="120" w:type="dxa"/>
              <w:bottom w:w="80" w:type="dxa"/>
              <w:end w:w="120" w:type="dxa"/>
            </w:tcMar>
            <w:vAlign w:val="top"/>
            <w:shd w:fill="EAF2F8"/>
          </w:tcPr>
          <w:p>
            <w:pPr>
              <w:spacing w:after="0"/>
            </w:pPr>
            <w:r>
              <w:rPr>
                <w:b/>
                <w:color w:val="091F36"/>
              </w:rPr>
              <w:t xml:space="preserve">Source discipline: </w:t>
            </w:r>
            <w:r>
              <w:t>This document is grounded in the repository inspection. Unsupported traction, revenue, partnership, user-count, and funding details are explicitly marked as Needs founder input.</w:t>
            </w:r>
          </w:p>
        </w:tc>
      </w:tr>
    </w:tbl>
    <w:p>
      <w:pPr>
        <w:pStyle w:val="Heading1"/>
      </w:pPr>
      <w:r>
        <w:t>10-Slide Investor Deck Outline</w:t>
      </w:r>
    </w:p>
    <w:p>
      <w:pPr>
        <w:pStyle w:val="Heading2"/>
        <w:keepNext/>
      </w:pPr>
      <w:r>
        <w:t>1. Trusted Deltas For African Cities</w:t>
      </w:r>
    </w:p>
    <w:p>
      <w:pPr>
        <w:spacing w:after="120"/>
      </w:pPr>
      <w:r>
        <w:rPr>
          <w:b/>
        </w:rPr>
        <w:t xml:space="preserve">Key message: </w:t>
      </w:r>
      <w:r>
        <w:t>Static maps are not enough; buyers need verified change.</w:t>
      </w:r>
    </w:p>
    <w:p>
      <w:pPr>
        <w:pStyle w:val="ListBullet"/>
        <w:spacing w:after="120" w:line="264" w:lineRule="auto"/>
        <w:ind w:left="720" w:hanging="360"/>
      </w:pPr>
      <w:r>
        <w:t>Mobile-first field data collection platform.</w:t>
      </w:r>
    </w:p>
    <w:p>
      <w:pPr>
        <w:pStyle w:val="ListBullet"/>
        <w:spacing w:after="120" w:line="264" w:lineRule="auto"/>
        <w:ind w:left="720" w:hanging="360"/>
      </w:pPr>
      <w:r>
        <w:t>Initial wedge: Bonamoussadi / Douala.</w:t>
      </w:r>
    </w:p>
    <w:p>
      <w:pPr>
        <w:pStyle w:val="ListBullet"/>
        <w:spacing w:after="120" w:line="264" w:lineRule="auto"/>
        <w:ind w:left="720" w:hanging="360"/>
      </w:pPr>
      <w:r>
        <w:t>Seven infrastructure and commerce verticals.</w:t>
      </w:r>
    </w:p>
    <w:p>
      <w:pPr>
        <w:pStyle w:val="ListBullet"/>
        <w:spacing w:after="120" w:line="264" w:lineRule="auto"/>
        <w:ind w:left="720" w:hanging="360"/>
      </w:pPr>
      <w:r>
        <w:t>Outputs: dashboards, exports, reports, and APIs.</w:t>
      </w:r>
    </w:p>
    <w:p>
      <w:pPr>
        <w:spacing w:after="120"/>
      </w:pPr>
      <w:r>
        <w:rPr>
          <w:b/>
        </w:rPr>
        <w:t xml:space="preserve">Speaker notes: </w:t>
      </w:r>
      <w:r>
        <w:t>Open with a direct claim: ADL does not sell a generic map. It sells verified freshness from the ground.</w:t>
      </w:r>
    </w:p>
    <w:p>
      <w:pPr>
        <w:pStyle w:val="Heading2"/>
        <w:keepNext/>
      </w:pPr>
      <w:r>
        <w:t>2. The Problem</w:t>
      </w:r>
    </w:p>
    <w:p>
      <w:pPr>
        <w:spacing w:after="120"/>
      </w:pPr>
      <w:r>
        <w:rPr>
          <w:b/>
        </w:rPr>
        <w:t xml:space="preserve">Key message: </w:t>
      </w:r>
      <w:r>
        <w:t>African city data is often stale, incomplete, and hard to trust.</w:t>
      </w:r>
    </w:p>
    <w:p>
      <w:pPr>
        <w:pStyle w:val="ListBullet"/>
        <w:spacing w:after="120" w:line="264" w:lineRule="auto"/>
        <w:ind w:left="720" w:hanging="360"/>
      </w:pPr>
      <w:r>
        <w:t>Informal activity and last-mile infrastructure are under-mapped.</w:t>
      </w:r>
    </w:p>
    <w:p>
      <w:pPr>
        <w:pStyle w:val="ListBullet"/>
        <w:spacing w:after="120" w:line="264" w:lineRule="auto"/>
        <w:ind w:left="720" w:hanging="360"/>
      </w:pPr>
      <w:r>
        <w:t>Official baselines age faster than neighborhoods change.</w:t>
      </w:r>
    </w:p>
    <w:p>
      <w:pPr>
        <w:pStyle w:val="ListBullet"/>
        <w:spacing w:after="120" w:line="264" w:lineRule="auto"/>
        <w:ind w:left="720" w:hanging="360"/>
      </w:pPr>
      <w:r>
        <w:t>Enterprises still rely on slow, one-off field surveys.</w:t>
      </w:r>
    </w:p>
    <w:p>
      <w:pPr>
        <w:pStyle w:val="ListBullet"/>
        <w:spacing w:after="120" w:line="264" w:lineRule="auto"/>
        <w:ind w:left="720" w:hanging="360"/>
      </w:pPr>
      <w:r>
        <w:t>Buyers lack provenance: who verified what, where, and when?</w:t>
      </w:r>
    </w:p>
    <w:p>
      <w:pPr>
        <w:spacing w:after="120"/>
      </w:pPr>
      <w:r>
        <w:rPr>
          <w:b/>
        </w:rPr>
        <w:t xml:space="preserve">Speaker notes: </w:t>
      </w:r>
      <w:r>
        <w:t>Frame the pain around freshness and confidence, not just missing points of interest.</w:t>
      </w:r>
    </w:p>
    <w:p>
      <w:pPr>
        <w:pStyle w:val="Heading2"/>
        <w:keepNext/>
      </w:pPr>
      <w:r>
        <w:t>3. The Solution</w:t>
      </w:r>
    </w:p>
    <w:p>
      <w:pPr>
        <w:spacing w:after="120"/>
      </w:pPr>
      <w:r>
        <w:rPr>
          <w:b/>
        </w:rPr>
        <w:t xml:space="preserve">Key message: </w:t>
      </w:r>
      <w:r>
        <w:t>Capture, verify, review, and publish change.</w:t>
      </w:r>
    </w:p>
    <w:p>
      <w:pPr>
        <w:pStyle w:val="ListBullet"/>
        <w:spacing w:after="120" w:line="264" w:lineRule="auto"/>
        <w:ind w:left="720" w:hanging="360"/>
      </w:pPr>
      <w:r>
        <w:t>Contributors submit photos, GPS, timestamps, and category-specific fields.</w:t>
      </w:r>
    </w:p>
    <w:p>
      <w:pPr>
        <w:pStyle w:val="ListBullet"/>
        <w:spacing w:after="120" w:line="264" w:lineRule="auto"/>
        <w:ind w:left="720" w:hanging="360"/>
      </w:pPr>
      <w:r>
        <w:t>Offline queue supports intermittent field connectivity.</w:t>
      </w:r>
    </w:p>
    <w:p>
      <w:pPr>
        <w:pStyle w:val="ListBullet"/>
        <w:spacing w:after="120" w:line="264" w:lineRule="auto"/>
        <w:ind w:left="720" w:hanging="360"/>
      </w:pPr>
      <w:r>
        <w:t>Server checks EXIF, GPS, geofence, duplicates, and fraud risk.</w:t>
      </w:r>
    </w:p>
    <w:p>
      <w:pPr>
        <w:pStyle w:val="ListBullet"/>
        <w:spacing w:after="120" w:line="264" w:lineRule="auto"/>
        <w:ind w:left="720" w:hanging="360"/>
      </w:pPr>
      <w:r>
        <w:t>Weekly snapshots expose new, removed, and changed points.</w:t>
      </w:r>
    </w:p>
    <w:p>
      <w:pPr>
        <w:spacing w:after="120"/>
      </w:pPr>
      <w:r>
        <w:rPr>
          <w:b/>
        </w:rPr>
        <w:t xml:space="preserve">Speaker notes: </w:t>
      </w:r>
      <w:r>
        <w:t>The strength is the end-to-end trust pipeline: simple field capture, technical validation, admin review, and useful deltas.</w:t>
      </w:r>
    </w:p>
    <w:p>
      <w:pPr>
        <w:pStyle w:val="Heading2"/>
        <w:keepNext/>
      </w:pPr>
      <w:r>
        <w:t>4. Who ADL Serves</w:t>
      </w:r>
    </w:p>
    <w:p>
      <w:pPr>
        <w:spacing w:after="120"/>
      </w:pPr>
      <w:r>
        <w:rPr>
          <w:b/>
        </w:rPr>
        <w:t xml:space="preserve">Key message: </w:t>
      </w:r>
      <w:r>
        <w:t>One platform connects supply, review, and demand.</w:t>
      </w:r>
    </w:p>
    <w:p>
      <w:pPr>
        <w:pStyle w:val="ListBullet"/>
        <w:spacing w:after="120" w:line="264" w:lineRule="auto"/>
        <w:ind w:left="720" w:hanging="360"/>
      </w:pPr>
      <w:r>
        <w:t>Field agents capture ground truth quickly on mobile.</w:t>
      </w:r>
    </w:p>
    <w:p>
      <w:pPr>
        <w:pStyle w:val="ListBullet"/>
        <w:spacing w:after="120" w:line="264" w:lineRule="auto"/>
        <w:ind w:left="720" w:hanging="360"/>
      </w:pPr>
      <w:r>
        <w:t>Admin reviewers triage risk, protect quality, and coach contributors.</w:t>
      </w:r>
    </w:p>
    <w:p>
      <w:pPr>
        <w:pStyle w:val="ListBullet"/>
        <w:spacing w:after="120" w:line="264" w:lineRule="auto"/>
        <w:ind w:left="720" w:hanging="360"/>
      </w:pPr>
      <w:r>
        <w:t>Clients monitor coverage, export insights, and make operating decisions.</w:t>
      </w:r>
    </w:p>
    <w:p>
      <w:pPr>
        <w:pStyle w:val="ListBullet"/>
        <w:spacing w:after="120" w:line="264" w:lineRule="auto"/>
        <w:ind w:left="720" w:hanging="360"/>
      </w:pPr>
      <w:r>
        <w:t>Initial buyer wedges include FMCG, fintech, logistics, NGOs, and government.</w:t>
      </w:r>
    </w:p>
    <w:p>
      <w:pPr>
        <w:spacing w:after="120"/>
      </w:pPr>
      <w:r>
        <w:rPr>
          <w:b/>
        </w:rPr>
        <w:t xml:space="preserve">Speaker notes: </w:t>
      </w:r>
      <w:r>
        <w:t>Each side reinforces the other: contributors create evidence, reviewers protect quality, and clients fund freshness.</w:t>
      </w:r>
    </w:p>
    <w:p>
      <w:pPr>
        <w:pStyle w:val="Heading2"/>
        <w:keepNext/>
      </w:pPr>
      <w:r>
        <w:t>5. Current Product Proof</w:t>
      </w:r>
    </w:p>
    <w:p>
      <w:pPr>
        <w:spacing w:after="120"/>
      </w:pPr>
      <w:r>
        <w:rPr>
          <w:b/>
        </w:rPr>
        <w:t xml:space="preserve">Key message: </w:t>
      </w:r>
      <w:r>
        <w:t>The repository shows a real product architecture, not just a mockup.</w:t>
      </w:r>
    </w:p>
    <w:p>
      <w:pPr>
        <w:pStyle w:val="ListBullet"/>
        <w:spacing w:after="120" w:line="264" w:lineRule="auto"/>
        <w:ind w:left="720" w:hanging="360"/>
      </w:pPr>
      <w:r>
        <w:t>React / Vercel / Postgres app with agent, admin, and client surfaces.</w:t>
      </w:r>
    </w:p>
    <w:p>
      <w:pPr>
        <w:pStyle w:val="ListBullet"/>
        <w:spacing w:after="120" w:line="264" w:lineRule="auto"/>
        <w:ind w:left="720" w:hanging="360"/>
      </w:pPr>
      <w:r>
        <w:t>APIs for submissions, review, analytics, privacy, auth, and AI search.</w:t>
      </w:r>
    </w:p>
    <w:p>
      <w:pPr>
        <w:pStyle w:val="ListBullet"/>
        <w:spacing w:after="120" w:line="264" w:lineRule="auto"/>
        <w:ind w:left="720" w:hanging="360"/>
      </w:pPr>
      <w:r>
        <w:t>Postgres migrations for events, fraud, audit, privacy, and analytics.</w:t>
      </w:r>
    </w:p>
    <w:p>
      <w:pPr>
        <w:pStyle w:val="ListBullet"/>
        <w:spacing w:after="120" w:line="264" w:lineRule="auto"/>
        <w:ind w:left="720" w:hanging="360"/>
      </w:pPr>
      <w:r>
        <w:t>Capacitor mobile shells and automated test coverage.</w:t>
      </w:r>
    </w:p>
    <w:p>
      <w:pPr>
        <w:spacing w:after="120"/>
      </w:pPr>
      <w:r>
        <w:rPr>
          <w:b/>
        </w:rPr>
        <w:t xml:space="preserve">Speaker notes: </w:t>
      </w:r>
      <w:r>
        <w:t>This is the strongest evidence-backed proof point. Live market traction still needs founder confirmation.</w:t>
      </w:r>
    </w:p>
    <w:p>
      <w:pPr>
        <w:pStyle w:val="Heading2"/>
        <w:keepNext/>
      </w:pPr>
      <w:r>
        <w:t>6. Trust Moat</w:t>
      </w:r>
    </w:p>
    <w:p>
      <w:pPr>
        <w:spacing w:after="120"/>
      </w:pPr>
      <w:r>
        <w:rPr>
          <w:b/>
        </w:rPr>
        <w:t xml:space="preserve">Key message: </w:t>
      </w:r>
      <w:r>
        <w:t>Quality beats volume.</w:t>
      </w:r>
    </w:p>
    <w:p>
      <w:pPr>
        <w:pStyle w:val="ListBullet"/>
        <w:spacing w:after="120" w:line="264" w:lineRule="auto"/>
        <w:ind w:left="720" w:hanging="360"/>
      </w:pPr>
      <w:r>
        <w:t>Event-sourced history for points and submissions.</w:t>
      </w:r>
    </w:p>
    <w:p>
      <w:pPr>
        <w:pStyle w:val="ListBullet"/>
        <w:spacing w:after="120" w:line="264" w:lineRule="auto"/>
        <w:ind w:left="720" w:hanging="360"/>
      </w:pPr>
      <w:r>
        <w:t>Photo, EXIF, location, velocity, and geofence checks.</w:t>
      </w:r>
    </w:p>
    <w:p>
      <w:pPr>
        <w:pStyle w:val="ListBullet"/>
        <w:spacing w:after="120" w:line="264" w:lineRule="auto"/>
        <w:ind w:left="720" w:hanging="360"/>
      </w:pPr>
      <w:r>
        <w:t>Deduplication, risk scoring, and review queues.</w:t>
      </w:r>
    </w:p>
    <w:p>
      <w:pPr>
        <w:pStyle w:val="ListBullet"/>
        <w:spacing w:after="120" w:line="264" w:lineRule="auto"/>
        <w:ind w:left="720" w:hanging="360"/>
      </w:pPr>
      <w:r>
        <w:t>Privacy, retention, audit, and consent controls.</w:t>
      </w:r>
    </w:p>
    <w:p>
      <w:pPr>
        <w:spacing w:after="120"/>
      </w:pPr>
      <w:r>
        <w:rPr>
          <w:b/>
        </w:rPr>
        <w:t xml:space="preserve">Speaker notes: </w:t>
      </w:r>
      <w:r>
        <w:t>Defensibility comes from provenance. ADL can explain why a data point is fresh, reliable, and publishable.</w:t>
      </w:r>
    </w:p>
    <w:p>
      <w:pPr>
        <w:pStyle w:val="Heading2"/>
        <w:keepNext/>
      </w:pPr>
      <w:r>
        <w:t>7. Why Now</w:t>
      </w:r>
    </w:p>
    <w:p>
      <w:pPr>
        <w:spacing w:after="120"/>
      </w:pPr>
      <w:r>
        <w:rPr>
          <w:b/>
        </w:rPr>
        <w:t xml:space="preserve">Key message: </w:t>
      </w:r>
      <w:r>
        <w:t>Demand is shifting from static maps to verified freshness.</w:t>
      </w:r>
    </w:p>
    <w:p>
      <w:pPr>
        <w:pStyle w:val="ListBullet"/>
        <w:spacing w:after="120" w:line="264" w:lineRule="auto"/>
        <w:ind w:left="720" w:hanging="360"/>
      </w:pPr>
      <w:r>
        <w:t>African cities change quickly at the last-mile level.</w:t>
      </w:r>
    </w:p>
    <w:p>
      <w:pPr>
        <w:pStyle w:val="ListBullet"/>
        <w:spacing w:after="120" w:line="264" w:lineRule="auto"/>
        <w:ind w:left="720" w:hanging="360"/>
      </w:pPr>
      <w:r>
        <w:t>Mobile-first field operations are increasingly viable.</w:t>
      </w:r>
    </w:p>
    <w:p>
      <w:pPr>
        <w:pStyle w:val="ListBullet"/>
        <w:spacing w:after="120" w:line="264" w:lineRule="auto"/>
        <w:ind w:left="720" w:hanging="360"/>
      </w:pPr>
      <w:r>
        <w:t>AI outputs need verified local inputs, not weak ground truth.</w:t>
      </w:r>
    </w:p>
    <w:p>
      <w:pPr>
        <w:pStyle w:val="ListBullet"/>
        <w:spacing w:after="120" w:line="264" w:lineRule="auto"/>
        <w:ind w:left="720" w:hanging="360"/>
      </w:pPr>
      <w:r>
        <w:t>Enterprises and public-sector teams need current signals for access, distribution, and risk.</w:t>
      </w:r>
    </w:p>
    <w:p>
      <w:pPr>
        <w:spacing w:after="120"/>
      </w:pPr>
      <w:r>
        <w:rPr>
          <w:b/>
        </w:rPr>
        <w:t xml:space="preserve">Speaker notes: </w:t>
      </w:r>
      <w:r>
        <w:t>AI does not fix bad ground truth. It increases the value of verified, well-governed local data.</w:t>
      </w:r>
    </w:p>
    <w:p>
      <w:pPr>
        <w:pStyle w:val="Heading2"/>
        <w:keepNext/>
      </w:pPr>
      <w:r>
        <w:t>8. Business Model Options</w:t>
      </w:r>
    </w:p>
    <w:p>
      <w:pPr>
        <w:spacing w:after="120"/>
      </w:pPr>
      <w:r>
        <w:rPr>
          <w:b/>
        </w:rPr>
        <w:t xml:space="preserve">Key message: </w:t>
      </w:r>
      <w:r>
        <w:t>Sell verified freshness, not raw points.</w:t>
      </w:r>
    </w:p>
    <w:p>
      <w:pPr>
        <w:pStyle w:val="ListBullet"/>
        <w:spacing w:after="120" w:line="264" w:lineRule="auto"/>
        <w:ind w:left="720" w:hanging="360"/>
      </w:pPr>
      <w:r>
        <w:t>Recurring subscriptions by neighborhood, category, or city.</w:t>
      </w:r>
    </w:p>
    <w:p>
      <w:pPr>
        <w:pStyle w:val="ListBullet"/>
        <w:spacing w:after="120" w:line="264" w:lineRule="auto"/>
        <w:ind w:left="720" w:hanging="360"/>
      </w:pPr>
      <w:r>
        <w:t>Project-based reports for infrastructure, access, and expansion planning.</w:t>
      </w:r>
    </w:p>
    <w:p>
      <w:pPr>
        <w:pStyle w:val="ListBullet"/>
        <w:spacing w:after="120" w:line="264" w:lineRule="auto"/>
        <w:ind w:left="720" w:hanging="360"/>
      </w:pPr>
      <w:r>
        <w:t>API access and premium exports for data teams.</w:t>
      </w:r>
    </w:p>
    <w:p>
      <w:pPr>
        <w:pStyle w:val="ListBullet"/>
        <w:spacing w:after="120" w:line="264" w:lineRule="auto"/>
        <w:ind w:left="720" w:hanging="360"/>
      </w:pPr>
      <w:r>
        <w:t>Paid validation or coverage campaigns for specific buyer needs.</w:t>
      </w:r>
    </w:p>
    <w:p>
      <w:pPr>
        <w:spacing w:after="120"/>
      </w:pPr>
      <w:r>
        <w:rPr>
          <w:b/>
        </w:rPr>
        <w:t xml:space="preserve">Speaker notes: </w:t>
      </w:r>
      <w:r>
        <w:t>Repository pricing ranges are planning assumptions, not proven revenue. Confirm live willingness to pay before presenting hard numbers.</w:t>
      </w:r>
    </w:p>
    <w:p>
      <w:pPr>
        <w:pStyle w:val="Heading2"/>
        <w:keepNext/>
      </w:pPr>
      <w:r>
        <w:t>9. Roadmap</w:t>
      </w:r>
    </w:p>
    <w:p>
      <w:pPr>
        <w:spacing w:after="120"/>
      </w:pPr>
      <w:r>
        <w:rPr>
          <w:b/>
        </w:rPr>
        <w:t xml:space="preserve">Key message: </w:t>
      </w:r>
      <w:r>
        <w:t>Prove Bonamoussadi, expand Douala, then replicate city by city.</w:t>
      </w:r>
    </w:p>
    <w:p>
      <w:pPr>
        <w:pStyle w:val="ListBullet"/>
        <w:spacing w:after="120" w:line="264" w:lineRule="auto"/>
        <w:ind w:left="720" w:hanging="360"/>
      </w:pPr>
      <w:r>
        <w:t>Finalize pilot proof: coverage, retention, fraud rate, and review speed.</w:t>
      </w:r>
    </w:p>
    <w:p>
      <w:pPr>
        <w:pStyle w:val="ListBullet"/>
        <w:spacing w:after="120" w:line="264" w:lineRule="auto"/>
        <w:ind w:left="720" w:hanging="360"/>
      </w:pPr>
      <w:r>
        <w:t>Convert qualified pilots or buyer leads into revenue.</w:t>
      </w:r>
    </w:p>
    <w:p>
      <w:pPr>
        <w:pStyle w:val="ListBullet"/>
        <w:spacing w:after="120" w:line="264" w:lineRule="auto"/>
        <w:ind w:left="720" w:hanging="360"/>
      </w:pPr>
      <w:r>
        <w:t>Prioritize high-value verticals: mobile money, roads, fuel, and commerce.</w:t>
      </w:r>
    </w:p>
    <w:p>
      <w:pPr>
        <w:pStyle w:val="ListBullet"/>
        <w:spacing w:after="120" w:line="264" w:lineRule="auto"/>
        <w:ind w:left="720" w:hanging="360"/>
      </w:pPr>
      <w:r>
        <w:t>Improve client exports, delta alerts, and explainable spatial intelligence.</w:t>
      </w:r>
    </w:p>
    <w:p>
      <w:pPr>
        <w:spacing w:after="120"/>
      </w:pPr>
      <w:r>
        <w:rPr>
          <w:b/>
        </w:rPr>
        <w:t xml:space="preserve">Speaker notes: </w:t>
      </w:r>
      <w:r>
        <w:t>Keep the roadmap disciplined: prove repeatable supply and paid demand before broad geographic expansion.</w:t>
      </w:r>
    </w:p>
    <w:p>
      <w:pPr>
        <w:pStyle w:val="Heading2"/>
        <w:keepNext/>
      </w:pPr>
      <w:r>
        <w:t>10. Funding Ask</w:t>
      </w:r>
    </w:p>
    <w:p>
      <w:pPr>
        <w:spacing w:after="120"/>
      </w:pPr>
      <w:r>
        <w:rPr>
          <w:b/>
        </w:rPr>
        <w:t xml:space="preserve">Key message: </w:t>
      </w:r>
      <w:r>
        <w:t>Raise to prove repeatable data supply and paid demand.</w:t>
      </w:r>
    </w:p>
    <w:p>
      <w:pPr>
        <w:pStyle w:val="ListBullet"/>
        <w:spacing w:after="120" w:line="264" w:lineRule="auto"/>
        <w:ind w:left="720" w:hanging="360"/>
      </w:pPr>
      <w:r>
        <w:t>Amount, runway, and instrument: Needs founder input.</w:t>
      </w:r>
    </w:p>
    <w:p>
      <w:pPr>
        <w:pStyle w:val="ListBullet"/>
        <w:spacing w:after="120" w:line="264" w:lineRule="auto"/>
        <w:ind w:left="720" w:hanging="360"/>
      </w:pPr>
      <w:r>
        <w:t>Use of funds: contributor operations, field lead, engineering, B2B sales, security, and compliance.</w:t>
      </w:r>
    </w:p>
    <w:p>
      <w:pPr>
        <w:pStyle w:val="ListBullet"/>
        <w:spacing w:after="120" w:line="264" w:lineRule="auto"/>
        <w:ind w:left="720" w:hanging="360"/>
      </w:pPr>
      <w:r>
        <w:t>Milestones: verified points, active contributors, freshness, fraud rate, review speed, and paid pilots.</w:t>
      </w:r>
    </w:p>
    <w:p>
      <w:pPr>
        <w:pStyle w:val="ListBullet"/>
        <w:spacing w:after="120" w:line="264" w:lineRule="auto"/>
        <w:ind w:left="720" w:hanging="360"/>
      </w:pPr>
      <w:r>
        <w:t>Goal: turn a working product into a commercial data engine.</w:t>
      </w:r>
    </w:p>
    <w:p>
      <w:pPr>
        <w:spacing w:after="120"/>
      </w:pPr>
      <w:r>
        <w:rPr>
          <w:b/>
        </w:rPr>
        <w:t xml:space="preserve">Speaker notes: </w:t>
      </w:r>
      <w:r>
        <w:t>Tie the ask to measurable proof, not broad expansion. Investors should see exactly what the capital unlocks.</w:t>
      </w:r>
    </w:p>
    <w:p>
      <w:r>
        <w:br w:type="page"/>
      </w:r>
    </w:p>
    <w:p>
      <w:pPr>
        <w:pStyle w:val="Heading1"/>
      </w:pPr>
      <w:r>
        <w:t>90-Second Spoken Pitch</w:t>
      </w:r>
    </w:p>
    <w:p>
      <w:r>
        <w:t>African Data Layer turns local field evidence into trusted city intelligence.</w:t>
      </w:r>
    </w:p>
    <w:p>
      <w:r>
        <w:t>In many African cities, the operating map used by companies, governments, and development teams is incomplete or stale. Roads degrade, mobile money points move, shops open and close, fuel availability changes, and informal activity often never appears in official datasets. The result is expensive field surveys, slow planning, and decisions made from yesterday's map.</w:t>
      </w:r>
    </w:p>
    <w:p>
      <w:r>
        <w:t>ADL starts with the people closest to the ground. Field contributors capture infrastructure and market points with photos, GPS, timestamps, and category-specific details. The product is designed for outdoor mobile use, intermittent connectivity, and low-friction contribution. Behind that, the platform validates location, photo evidence, EXIF signals, geofence rules, duplicates, and fraud risk before admin review and publication.</w:t>
      </w:r>
    </w:p>
    <w:p>
      <w:r>
        <w:t>The output is not just a database of points. ADL produces verified weekly deltas: what is new, what changed, what disappeared, where coverage is improving, and which signals are reliable enough for enterprise, government, and development use.</w:t>
      </w:r>
    </w:p>
    <w:p>
      <w:r>
        <w:t>The repository shows real product proof: mobile-first app flows, submission APIs, fraud and review infrastructure, analytics endpoints, privacy controls, Postgres migrations, Capacitor mobile shells, and automated tests.</w:t>
      </w:r>
    </w:p>
    <w:p>
      <w:r>
        <w:t>The next step is founder-confirmed pilot evidence: live users, verified coverage, buyer conversations, revenue status, and the funding amount required to convert this into repeatable data supply and paid demand.</w:t>
      </w:r>
    </w:p>
    <w:p>
      <w:pPr>
        <w:pStyle w:val="Heading1"/>
      </w:pPr>
      <w:r>
        <w:t>3-Minute Spoken Pitch</w:t>
      </w:r>
    </w:p>
    <w:p>
      <w:r>
        <w:t>African Data Layer exists because African cities are changing faster than the datasets used to understand them.</w:t>
      </w:r>
    </w:p>
    <w:p>
      <w:r>
        <w:t>For companies, governments, and development organizations, the core problem is not simply that map data is missing. It is that trusted local change is missing. A static point-of-interest database does not tell you whether a mobile money kiosk still operates, whether a road segment has degraded, whether fuel access has shifted, or whether a commercial cluster is emerging. In places where informal activity is significant, official records and satellite-derived data do not capture enough of the operating reality.</w:t>
      </w:r>
    </w:p>
    <w:p>
      <w:r>
        <w:t>ADL's answer is a field-verified data layer. Local contributors use a mobile-first app to capture real-world infrastructure and commerce data with photos, GPS, timestamps, and vertical-specific fields. The experience is built for mid-range phones, outdoor use, intermittent connectivity, and clear next actions. Contributors are rewarded for verified quality, not just volume.</w:t>
      </w:r>
    </w:p>
    <w:p>
      <w:r>
        <w:t>On the backend, each submission passes through a trust pipeline. The platform checks location integrity, photo and EXIF signals, geofence rules, velocity, duplicates, enrichment completeness, and fraud risk. Admin reviewers get a queue designed for fast triage. Published data becomes an event-sourced history of points, which enables weekly snapshots and deltas: new points, removed points, changed attributes, freshness, anomaly signals, and coverage quality.</w:t>
      </w:r>
    </w:p>
    <w:p>
      <w:r>
        <w:t>That is the commercial wedge. ADL is not selling generic AI or raw map pins. It sells verified freshness. Potential buyers include FMCG teams planning distribution, fintechs mapping agent networks, logistics teams optimizing routes, governments monitoring infrastructure, and NGOs measuring access. Business model options include recurring data subscriptions, project-based reports, API access, paid validation campaigns, and premium export packages.</w:t>
      </w:r>
    </w:p>
    <w:p>
      <w:r>
        <w:t>The repo already supports this story. It contains the mobile app, agent/admin/client surfaces, submission and review APIs, analytics endpoints, fraud and audit tables, privacy and retention policies, delta intelligence documentation, Capacitor mobile configuration, deployment settings, and automated tests. That is meaningful product proof.</w:t>
      </w:r>
    </w:p>
    <w:p>
      <w:r>
        <w:t>What should not be invented is traction. The deck still needs founder input for live verified point counts, active contributors, paying or pilot customers, revenue, partnerships, team biographies, exact funding ask, runway, and confirmed market validation. Until those are confirmed, the strongest investor-ready claim is this: African Data Layer has a credible, technically grounded product for collecting and verifying last-mile city data, with a clear wedge in Bonamoussadi and a path to expand across Douala and other African urban markets.</w:t>
      </w:r>
    </w:p>
    <w:p>
      <w:r>
        <w:t>The funding story should be milestone-based: prove repeatable contributor supply, prove buyer willingness to pay, harden trust and compliance, and turn weekly ground truth into a data product that enterprises and public-sector teams can rely on.</w:t>
      </w:r>
    </w:p>
    <w:p>
      <w:pPr>
        <w:pStyle w:val="Heading1"/>
      </w:pPr>
      <w:r>
        <w:t>Founder Input Needed</w:t>
      </w:r>
    </w:p>
    <w:p>
      <w:pPr>
        <w:pStyle w:val="ListBullet"/>
        <w:spacing w:after="120" w:line="264" w:lineRule="auto"/>
        <w:ind w:left="720" w:hanging="360"/>
      </w:pPr>
      <w:r>
        <w:t>Current live traction: active contributors, verified points, submissions, retention, review speed.</w:t>
      </w:r>
    </w:p>
    <w:p>
      <w:pPr>
        <w:pStyle w:val="ListBullet"/>
        <w:spacing w:after="120" w:line="264" w:lineRule="auto"/>
        <w:ind w:left="720" w:hanging="360"/>
      </w:pPr>
      <w:r>
        <w:t>Current revenue: paid customers, pilot contracts, LOIs, or qualified pipeline.</w:t>
      </w:r>
    </w:p>
    <w:p>
      <w:pPr>
        <w:pStyle w:val="ListBullet"/>
        <w:spacing w:after="120" w:line="264" w:lineRule="auto"/>
        <w:ind w:left="720" w:hanging="360"/>
      </w:pPr>
      <w:r>
        <w:t>Confirmed partnerships or customer names.</w:t>
      </w:r>
    </w:p>
    <w:p>
      <w:pPr>
        <w:pStyle w:val="ListBullet"/>
        <w:spacing w:after="120" w:line="264" w:lineRule="auto"/>
        <w:ind w:left="720" w:hanging="360"/>
      </w:pPr>
      <w:r>
        <w:t>Funding ask amount, runway, valuation expectations, and instrument.</w:t>
      </w:r>
    </w:p>
    <w:p>
      <w:pPr>
        <w:pStyle w:val="ListBullet"/>
        <w:spacing w:after="120" w:line="264" w:lineRule="auto"/>
        <w:ind w:left="720" w:hanging="360"/>
      </w:pPr>
      <w:r>
        <w:t>Team biographies, roles, founder-market fit, and Nairobi summit presenter details.</w:t>
      </w:r>
    </w:p>
    <w:p>
      <w:pPr>
        <w:pStyle w:val="ListBullet"/>
        <w:spacing w:after="120" w:line="264" w:lineRule="auto"/>
        <w:ind w:left="720" w:hanging="360"/>
      </w:pPr>
      <w:r>
        <w:t>Pilot status as of May 11, 2026: completed, in progress, or planned.</w:t>
      </w:r>
    </w:p>
    <w:p>
      <w:pPr>
        <w:pStyle w:val="ListBullet"/>
        <w:spacing w:after="120" w:line="264" w:lineRule="auto"/>
        <w:ind w:left="720" w:hanging="360"/>
      </w:pPr>
      <w:r>
        <w:t>Confirmed pricing and buyer willingness-to-pay evidence.</w:t>
      </w:r>
    </w:p>
    <w:p>
      <w:pPr>
        <w:pStyle w:val="ListBullet"/>
        <w:spacing w:after="120" w:line="264" w:lineRule="auto"/>
        <w:ind w:left="720" w:hanging="360"/>
      </w:pPr>
      <w:r>
        <w:t>Mobile distribution status: TestFlight, Play Store, internal beta, or live stores.</w:t>
      </w:r>
    </w:p>
    <w:p>
      <w:pPr>
        <w:pStyle w:val="ListBullet"/>
        <w:spacing w:after="120" w:line="264" w:lineRule="auto"/>
        <w:ind w:left="720" w:hanging="360"/>
      </w:pPr>
      <w:r>
        <w:t>Market sizing assumptions beyond internal repository planning docs.</w:t>
      </w:r>
    </w:p>
    <w:p>
      <w:pPr>
        <w:pStyle w:val="ListBullet"/>
        <w:spacing w:after="120" w:line="264" w:lineRule="auto"/>
        <w:ind w:left="720" w:hanging="360"/>
      </w:pPr>
      <w:r>
        <w:t>Any proprietary data rights, government permissions, or regulatory constraints.</w:t>
      </w:r>
    </w:p>
    <w:p>
      <w:pPr>
        <w:pStyle w:val="Heading1"/>
      </w:pPr>
      <w:r>
        <w:t>File Evidence Map</w:t>
      </w:r>
    </w:p>
    <w:tbl>
      <w:tblPr>
        <w:tblStyle w:val="TableGrid"/>
        <w:tblW w:type="dxa" w:w="9240"/>
        <w:jc w:val="center"/>
        <w:tblLook w:firstColumn="1" w:firstRow="1" w:lastColumn="0" w:lastRow="0" w:noHBand="0" w:noVBand="1" w:val="04A0"/>
        <w:tblInd w:w="120" w:type="dxa"/>
      </w:tblPr>
      <w:tblGrid>
        <w:gridCol w:w="3150"/>
        <w:gridCol w:w="6090"/>
      </w:tblGrid>
      <w:tr>
        <w:tc>
          <w:tcPr>
            <w:tcW w:type="dxa" w:w="3150"/>
            <w:tcMar>
              <w:top w:w="80" w:type="dxa"/>
              <w:start w:w="120" w:type="dxa"/>
              <w:bottom w:w="80" w:type="dxa"/>
              <w:end w:w="120" w:type="dxa"/>
            </w:tcMar>
            <w:vAlign w:val="top"/>
            <w:shd w:fill="F2F4F7"/>
          </w:tcPr>
          <w:p>
            <w:pPr>
              <w:spacing w:after="0"/>
            </w:pPr>
            <w:r>
              <w:rPr>
                <w:b/>
                <w:color w:val="091F36"/>
              </w:rPr>
              <w:t>Claim / Theme</w:t>
            </w:r>
          </w:p>
        </w:tc>
        <w:tc>
          <w:tcPr>
            <w:tcW w:type="dxa" w:w="6090"/>
            <w:tcMar>
              <w:top w:w="80" w:type="dxa"/>
              <w:start w:w="120" w:type="dxa"/>
              <w:bottom w:w="80" w:type="dxa"/>
              <w:end w:w="120" w:type="dxa"/>
            </w:tcMar>
            <w:vAlign w:val="top"/>
            <w:shd w:fill="F2F4F7"/>
          </w:tcPr>
          <w:p>
            <w:pPr>
              <w:spacing w:after="0"/>
            </w:pPr>
            <w:r>
              <w:rPr>
                <w:b/>
                <w:color w:val="091F36"/>
              </w:rPr>
              <w:t>Supporting Repository Files</w:t>
            </w:r>
          </w:p>
        </w:tc>
      </w:tr>
      <w:tr>
        <w:tc>
          <w:tcPr>
            <w:tcW w:type="dxa" w:w="3150"/>
            <w:tcMar>
              <w:top w:w="80" w:type="dxa"/>
              <w:start w:w="120" w:type="dxa"/>
              <w:bottom w:w="80" w:type="dxa"/>
              <w:end w:w="120" w:type="dxa"/>
            </w:tcMar>
          </w:tcPr>
          <w:p>
            <w:pPr>
              <w:spacing w:after="40" w:line="252" w:lineRule="auto"/>
            </w:pPr>
            <w:r>
              <w:t>Product definition and scope</w:t>
            </w:r>
          </w:p>
        </w:tc>
        <w:tc>
          <w:tcPr>
            <w:tcW w:type="dxa" w:w="6090"/>
            <w:tcMar>
              <w:top w:w="80" w:type="dxa"/>
              <w:start w:w="120" w:type="dxa"/>
              <w:bottom w:w="80" w:type="dxa"/>
              <w:end w:w="120" w:type="dxa"/>
            </w:tcMar>
          </w:tcPr>
          <w:p>
            <w:pPr>
              <w:spacing w:after="40" w:line="252" w:lineRule="auto"/>
            </w:pPr>
            <w:r>
              <w:t>README.md; AGENTS.md</w:t>
            </w:r>
          </w:p>
        </w:tc>
      </w:tr>
      <w:tr>
        <w:tc>
          <w:tcPr>
            <w:tcW w:type="dxa" w:w="3150"/>
            <w:tcMar>
              <w:top w:w="80" w:type="dxa"/>
              <w:start w:w="120" w:type="dxa"/>
              <w:bottom w:w="80" w:type="dxa"/>
              <w:end w:w="120" w:type="dxa"/>
            </w:tcMar>
          </w:tcPr>
          <w:p>
            <w:pPr>
              <w:spacing w:after="40" w:line="252" w:lineRule="auto"/>
            </w:pPr>
            <w:r>
              <w:t>Design principles and field-agent context</w:t>
            </w:r>
          </w:p>
        </w:tc>
        <w:tc>
          <w:tcPr>
            <w:tcW w:type="dxa" w:w="6090"/>
            <w:tcMar>
              <w:top w:w="80" w:type="dxa"/>
              <w:start w:w="120" w:type="dxa"/>
              <w:bottom w:w="80" w:type="dxa"/>
              <w:end w:w="120" w:type="dxa"/>
            </w:tcMar>
          </w:tcPr>
          <w:p>
            <w:pPr>
              <w:spacing w:after="40" w:line="252" w:lineRule="auto"/>
            </w:pPr>
            <w:r>
              <w:t>AGENTS.md; design/DEFINITIVE-UI-PLAN.md</w:t>
            </w:r>
          </w:p>
        </w:tc>
      </w:tr>
      <w:tr>
        <w:tc>
          <w:tcPr>
            <w:tcW w:type="dxa" w:w="3150"/>
            <w:tcMar>
              <w:top w:w="80" w:type="dxa"/>
              <w:start w:w="120" w:type="dxa"/>
              <w:bottom w:w="80" w:type="dxa"/>
              <w:end w:w="120" w:type="dxa"/>
            </w:tcMar>
          </w:tcPr>
          <w:p>
            <w:pPr>
              <w:spacing w:after="40" w:line="252" w:lineRule="auto"/>
            </w:pPr>
            <w:r>
              <w:t>Submission workflow and trust pipeline</w:t>
            </w:r>
          </w:p>
        </w:tc>
        <w:tc>
          <w:tcPr>
            <w:tcW w:type="dxa" w:w="6090"/>
            <w:tcMar>
              <w:top w:w="80" w:type="dxa"/>
              <w:start w:w="120" w:type="dxa"/>
              <w:bottom w:w="80" w:type="dxa"/>
              <w:end w:w="120" w:type="dxa"/>
            </w:tcMar>
          </w:tcPr>
          <w:p>
            <w:pPr>
              <w:spacing w:after="40" w:line="252" w:lineRule="auto"/>
            </w:pPr>
            <w:r>
              <w:t>api/submissions/index.ts; components/Screens/ContributionFlow.tsx</w:t>
            </w:r>
          </w:p>
        </w:tc>
      </w:tr>
      <w:tr>
        <w:tc>
          <w:tcPr>
            <w:tcW w:type="dxa" w:w="3150"/>
            <w:tcMar>
              <w:top w:w="80" w:type="dxa"/>
              <w:start w:w="120" w:type="dxa"/>
              <w:bottom w:w="80" w:type="dxa"/>
              <w:end w:w="120" w:type="dxa"/>
            </w:tcMar>
          </w:tcPr>
          <w:p>
            <w:pPr>
              <w:spacing w:after="40" w:line="252" w:lineRule="auto"/>
            </w:pPr>
            <w:r>
              <w:t>Data model and migrations</w:t>
            </w:r>
          </w:p>
        </w:tc>
        <w:tc>
          <w:tcPr>
            <w:tcW w:type="dxa" w:w="6090"/>
            <w:tcMar>
              <w:top w:w="80" w:type="dxa"/>
              <w:start w:w="120" w:type="dxa"/>
              <w:bottom w:w="80" w:type="dxa"/>
              <w:end w:w="120" w:type="dxa"/>
            </w:tcMar>
          </w:tcPr>
          <w:p>
            <w:pPr>
              <w:spacing w:after="40" w:line="252" w:lineRule="auto"/>
            </w:pPr>
            <w:r>
              <w:t>supabase/migrations/20260219_init_adl.sql; supabase/migrations/20260305_fraud_analytics_foundation.sql</w:t>
            </w:r>
          </w:p>
        </w:tc>
      </w:tr>
      <w:tr>
        <w:tc>
          <w:tcPr>
            <w:tcW w:type="dxa" w:w="3150"/>
            <w:tcMar>
              <w:top w:w="80" w:type="dxa"/>
              <w:start w:w="120" w:type="dxa"/>
              <w:bottom w:w="80" w:type="dxa"/>
              <w:end w:w="120" w:type="dxa"/>
            </w:tcMar>
          </w:tcPr>
          <w:p>
            <w:pPr>
              <w:spacing w:after="40" w:line="252" w:lineRule="auto"/>
            </w:pPr>
            <w:r>
              <w:t>Delta intelligence and analytics</w:t>
            </w:r>
          </w:p>
        </w:tc>
        <w:tc>
          <w:tcPr>
            <w:tcW w:type="dxa" w:w="6090"/>
            <w:tcMar>
              <w:top w:w="80" w:type="dxa"/>
              <w:start w:w="120" w:type="dxa"/>
              <w:bottom w:w="80" w:type="dxa"/>
              <w:end w:w="120" w:type="dxa"/>
            </w:tcMar>
          </w:tcPr>
          <w:p>
            <w:pPr>
              <w:spacing w:after="40" w:line="252" w:lineRule="auto"/>
            </w:pPr>
            <w:r>
              <w:t>docs/delta-intelligence.md; api/analytics/index.ts</w:t>
            </w:r>
          </w:p>
        </w:tc>
      </w:tr>
      <w:tr>
        <w:tc>
          <w:tcPr>
            <w:tcW w:type="dxa" w:w="3150"/>
            <w:tcMar>
              <w:top w:w="80" w:type="dxa"/>
              <w:start w:w="120" w:type="dxa"/>
              <w:bottom w:w="80" w:type="dxa"/>
              <w:end w:w="120" w:type="dxa"/>
            </w:tcMar>
          </w:tcPr>
          <w:p>
            <w:pPr>
              <w:spacing w:after="40" w:line="252" w:lineRule="auto"/>
            </w:pPr>
            <w:r>
              <w:t>AI/spatial intelligence guardrails</w:t>
            </w:r>
          </w:p>
        </w:tc>
        <w:tc>
          <w:tcPr>
            <w:tcW w:type="dxa" w:w="6090"/>
            <w:tcMar>
              <w:top w:w="80" w:type="dxa"/>
              <w:start w:w="120" w:type="dxa"/>
              <w:bottom w:w="80" w:type="dxa"/>
              <w:end w:w="120" w:type="dxa"/>
            </w:tcMar>
          </w:tcPr>
          <w:p>
            <w:pPr>
              <w:spacing w:after="40" w:line="252" w:lineRule="auto"/>
            </w:pPr>
            <w:r>
              <w:t>docs/ai-spatial-intelligence-reporting.md</w:t>
            </w:r>
          </w:p>
        </w:tc>
      </w:tr>
      <w:tr>
        <w:tc>
          <w:tcPr>
            <w:tcW w:type="dxa" w:w="3150"/>
            <w:tcMar>
              <w:top w:w="80" w:type="dxa"/>
              <w:start w:w="120" w:type="dxa"/>
              <w:bottom w:w="80" w:type="dxa"/>
              <w:end w:w="120" w:type="dxa"/>
            </w:tcMar>
          </w:tcPr>
          <w:p>
            <w:pPr>
              <w:spacing w:after="40" w:line="252" w:lineRule="auto"/>
            </w:pPr>
            <w:r>
              <w:t>Business model and buyer hypotheses</w:t>
            </w:r>
          </w:p>
        </w:tc>
        <w:tc>
          <w:tcPr>
            <w:tcW w:type="dxa" w:w="6090"/>
            <w:tcMar>
              <w:top w:w="80" w:type="dxa"/>
              <w:start w:w="120" w:type="dxa"/>
              <w:bottom w:w="80" w:type="dxa"/>
              <w:end w:w="120" w:type="dxa"/>
            </w:tcMar>
          </w:tcPr>
          <w:p>
            <w:pPr>
              <w:spacing w:after="40" w:line="252" w:lineRule="auto"/>
            </w:pPr>
            <w:r>
              <w:t>docs/pitch/00-deck-source-matrix.md; docs/team/07-marketing-strategy.md</w:t>
            </w:r>
          </w:p>
        </w:tc>
      </w:tr>
      <w:tr>
        <w:tc>
          <w:tcPr>
            <w:tcW w:type="dxa" w:w="3150"/>
            <w:tcMar>
              <w:top w:w="80" w:type="dxa"/>
              <w:start w:w="120" w:type="dxa"/>
              <w:bottom w:w="80" w:type="dxa"/>
              <w:end w:w="120" w:type="dxa"/>
            </w:tcMar>
          </w:tcPr>
          <w:p>
            <w:pPr>
              <w:spacing w:after="40" w:line="252" w:lineRule="auto"/>
            </w:pPr>
            <w:r>
              <w:t>Roadmap and pilot gates</w:t>
            </w:r>
          </w:p>
        </w:tc>
        <w:tc>
          <w:tcPr>
            <w:tcW w:type="dxa" w:w="6090"/>
            <w:tcMar>
              <w:top w:w="80" w:type="dxa"/>
              <w:start w:w="120" w:type="dxa"/>
              <w:bottom w:w="80" w:type="dxa"/>
              <w:end w:w="120" w:type="dxa"/>
            </w:tcMar>
          </w:tcPr>
          <w:p>
            <w:pPr>
              <w:spacing w:after="40" w:line="252" w:lineRule="auto"/>
            </w:pPr>
            <w:r>
              <w:t>docs/team/08-service-delivery-project-plan.md</w:t>
            </w:r>
          </w:p>
        </w:tc>
      </w:tr>
      <w:tr>
        <w:tc>
          <w:tcPr>
            <w:tcW w:type="dxa" w:w="3150"/>
            <w:tcMar>
              <w:top w:w="80" w:type="dxa"/>
              <w:start w:w="120" w:type="dxa"/>
              <w:bottom w:w="80" w:type="dxa"/>
              <w:end w:w="120" w:type="dxa"/>
            </w:tcMar>
          </w:tcPr>
          <w:p>
            <w:pPr>
              <w:spacing w:after="40" w:line="252" w:lineRule="auto"/>
            </w:pPr>
            <w:r>
              <w:t>Mobile distribution</w:t>
            </w:r>
          </w:p>
        </w:tc>
        <w:tc>
          <w:tcPr>
            <w:tcW w:type="dxa" w:w="6090"/>
            <w:tcMar>
              <w:top w:w="80" w:type="dxa"/>
              <w:start w:w="120" w:type="dxa"/>
              <w:bottom w:w="80" w:type="dxa"/>
              <w:end w:w="120" w:type="dxa"/>
            </w:tcMar>
          </w:tcPr>
          <w:p>
            <w:pPr>
              <w:spacing w:after="40" w:line="252" w:lineRule="auto"/>
            </w:pPr>
            <w:r>
              <w:t>docs/team/09-mobile-distribution.md; capacitor.config.ts</w:t>
            </w:r>
          </w:p>
        </w:tc>
      </w:tr>
      <w:tr>
        <w:tc>
          <w:tcPr>
            <w:tcW w:type="dxa" w:w="3150"/>
            <w:tcMar>
              <w:top w:w="80" w:type="dxa"/>
              <w:start w:w="120" w:type="dxa"/>
              <w:bottom w:w="80" w:type="dxa"/>
              <w:end w:w="120" w:type="dxa"/>
            </w:tcMar>
          </w:tcPr>
          <w:p>
            <w:pPr>
              <w:spacing w:after="40" w:line="252" w:lineRule="auto"/>
            </w:pPr>
            <w:r>
              <w:t>Deployment, tests, and quality gates</w:t>
            </w:r>
          </w:p>
        </w:tc>
        <w:tc>
          <w:tcPr>
            <w:tcW w:type="dxa" w:w="6090"/>
            <w:tcMar>
              <w:top w:w="80" w:type="dxa"/>
              <w:start w:w="120" w:type="dxa"/>
              <w:bottom w:w="80" w:type="dxa"/>
              <w:end w:w="120" w:type="dxa"/>
            </w:tcMar>
          </w:tcPr>
          <w:p>
            <w:pPr>
              <w:spacing w:after="40" w:line="252" w:lineRule="auto"/>
            </w:pPr>
            <w:r>
              <w:t>package.json; vercel.json; .github/workflows/ci.yml</w:t>
            </w:r>
          </w:p>
        </w:tc>
      </w:tr>
      <w:tr>
        <w:tc>
          <w:tcPr>
            <w:tcW w:type="dxa" w:w="3150"/>
            <w:tcMar>
              <w:top w:w="80" w:type="dxa"/>
              <w:start w:w="120" w:type="dxa"/>
              <w:bottom w:w="80" w:type="dxa"/>
              <w:end w:w="120" w:type="dxa"/>
            </w:tcMar>
          </w:tcPr>
          <w:p>
            <w:pPr>
              <w:spacing w:after="40" w:line="252" w:lineRule="auto"/>
            </w:pPr>
            <w:r>
              <w:t>Compliance and privacy</w:t>
            </w:r>
          </w:p>
        </w:tc>
        <w:tc>
          <w:tcPr>
            <w:tcW w:type="dxa" w:w="6090"/>
            <w:tcMar>
              <w:top w:w="80" w:type="dxa"/>
              <w:start w:w="120" w:type="dxa"/>
              <w:bottom w:w="80" w:type="dxa"/>
              <w:end w:w="120" w:type="dxa"/>
            </w:tcMar>
          </w:tcPr>
          <w:p>
            <w:pPr>
              <w:spacing w:after="40" w:line="252" w:lineRule="auto"/>
            </w:pPr>
            <w:r>
              <w:t>docs/compliance/privacy-policy-en.md; docs/compliance/data-retention-policy.md</w:t>
            </w:r>
          </w:p>
        </w:tc>
      </w:tr>
      <w:tr>
        <w:tc>
          <w:tcPr>
            <w:tcW w:type="dxa" w:w="3150"/>
            <w:tcMar>
              <w:top w:w="80" w:type="dxa"/>
              <w:start w:w="120" w:type="dxa"/>
              <w:bottom w:w="80" w:type="dxa"/>
              <w:end w:w="120" w:type="dxa"/>
            </w:tcMar>
          </w:tcPr>
          <w:p>
            <w:pPr>
              <w:spacing w:after="40" w:line="252" w:lineRule="auto"/>
            </w:pPr>
            <w:r>
              <w:t>Documentation gap</w:t>
            </w:r>
          </w:p>
        </w:tc>
        <w:tc>
          <w:tcPr>
            <w:tcW w:type="dxa" w:w="6090"/>
            <w:tcMar>
              <w:top w:w="80" w:type="dxa"/>
              <w:start w:w="120" w:type="dxa"/>
              <w:bottom w:w="80" w:type="dxa"/>
              <w:end w:w="120" w:type="dxa"/>
            </w:tcMar>
          </w:tcPr>
          <w:p>
            <w:pPr>
              <w:spacing w:after="40" w:line="252" w:lineRule="auto"/>
            </w:pPr>
            <w:r>
              <w:t>RTK.md is referenced by AGENTS.md but was not found in the inspected repository</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270"/>
        <w:sz w:val="16"/>
      </w:rPr>
      <w:t>African Data Layer - Investor Pitch EN - generated from repository evidence, May 11,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91F3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59627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