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91F36"/>
          <w:sz w:val="44"/>
        </w:rPr>
        <w:t>African Data Layer - Pitch Investisseurs</w:t>
      </w:r>
    </w:p>
    <w:p>
      <w:pPr>
        <w:jc w:val="center"/>
      </w:pPr>
      <w:r>
        <w:rPr>
          <w:color w:val="596270"/>
          <w:sz w:val="21"/>
        </w:rPr>
        <w:t>Version française pour cofondateurs | African Forward Summit, Nairobi | 11 mai 2026</w:t>
      </w:r>
    </w:p>
    <w:p/>
    <w:p>
      <w:r>
        <w:rPr>
          <w:b/>
        </w:rPr>
        <w:t xml:space="preserve">Positionnement en une phrase : </w:t>
      </w:r>
      <w:r>
        <w:t>African Data Layer est la couche de données vérifiées sur le terrain pour les villes africaines : elle transforme des contributions photo + GPS de collecteurs locaux en deltas d'infrastructure et de marché fiables pour les entreprises, les gouvernements et les organisations de développement.</w:t>
      </w:r>
    </w:p>
    <w:p>
      <w:r>
        <w:rPr>
          <w:b/>
        </w:rPr>
        <w:t xml:space="preserve">Note de méthode : </w:t>
      </w:r>
      <w:r>
        <w:t>Cette version reste strictement fondée sur le dépôt. Les éléments non prouvés par les fichiers sont marqués 'À confirmer par les fondateurs'. Aucune traction, revenu, partenariat ou nombre d'utilisateurs n'est inventé.</w:t>
      </w:r>
    </w:p>
    <w:p>
      <w:pPr>
        <w:pStyle w:val="Heading1"/>
      </w:pPr>
      <w:r>
        <w:t>Plan du deck investisseur - 10 slides</w:t>
      </w:r>
    </w:p>
    <w:p>
      <w:pPr>
        <w:pStyle w:val="Heading2"/>
      </w:pPr>
      <w:r>
        <w:t>1. Des deltas fiables pour les villes africaines</w:t>
      </w:r>
    </w:p>
    <w:p>
      <w:r>
        <w:rPr>
          <w:b/>
        </w:rPr>
        <w:t xml:space="preserve">Message clé : </w:t>
      </w:r>
      <w:r>
        <w:t>Les cartes statiques ne suffisent plus : les décideurs ont besoin de changements vérifiés.</w:t>
      </w:r>
    </w:p>
    <w:p>
      <w:pPr>
        <w:pStyle w:val="ListBullet"/>
      </w:pPr>
      <w:r>
        <w:t>Plateforme mobile-first de collecte terrain.</w:t>
      </w:r>
    </w:p>
    <w:p>
      <w:pPr>
        <w:pStyle w:val="ListBullet"/>
      </w:pPr>
      <w:r>
        <w:t>Point de départ : Bonamoussadi / Douala.</w:t>
      </w:r>
    </w:p>
    <w:p>
      <w:pPr>
        <w:pStyle w:val="ListBullet"/>
      </w:pPr>
      <w:r>
        <w:t>7 verticales d'infrastructure et de commerce.</w:t>
      </w:r>
    </w:p>
    <w:p>
      <w:pPr>
        <w:pStyle w:val="ListBullet"/>
      </w:pPr>
      <w:r>
        <w:t>Sorties : tableaux de bord, exports, rapports et API.</w:t>
      </w:r>
    </w:p>
    <w:p>
      <w:r>
        <w:rPr>
          <w:b/>
        </w:rPr>
        <w:t xml:space="preserve">Notes orateur : </w:t>
      </w:r>
      <w:r>
        <w:t>ADL transforme les preuves collectées localement en intelligence urbaine exploitable. Le message d'ouverture doit être direct : nous ne vendons pas une carte, nous vendons de la fraîcheur vérifiée.</w:t>
      </w:r>
    </w:p>
    <w:p>
      <w:pPr>
        <w:pStyle w:val="Heading2"/>
      </w:pPr>
      <w:r>
        <w:t>2. Le problème</w:t>
      </w:r>
    </w:p>
    <w:p>
      <w:r>
        <w:rPr>
          <w:b/>
        </w:rPr>
        <w:t xml:space="preserve">Message clé : </w:t>
      </w:r>
      <w:r>
        <w:t>Les données urbaines africaines sont souvent incomplètes, anciennes ou difficiles à vérifier.</w:t>
      </w:r>
    </w:p>
    <w:p>
      <w:pPr>
        <w:pStyle w:val="ListBullet"/>
      </w:pPr>
      <w:r>
        <w:t>L'économie informelle et les infrastructures de proximité sont sous-cartographiées.</w:t>
      </w:r>
    </w:p>
    <w:p>
      <w:pPr>
        <w:pStyle w:val="ListBullet"/>
      </w:pPr>
      <w:r>
        <w:t>Les bases officielles vieillissent plus vite que les quartiers ne changent.</w:t>
      </w:r>
    </w:p>
    <w:p>
      <w:pPr>
        <w:pStyle w:val="ListBullet"/>
      </w:pPr>
      <w:r>
        <w:t>Les entreprises paient encore pour des enquêtes lentes et ponctuelles.</w:t>
      </w:r>
    </w:p>
    <w:p>
      <w:pPr>
        <w:pStyle w:val="ListBullet"/>
      </w:pPr>
      <w:r>
        <w:t>Les acheteurs manquent de provenance : qui a vérifié quoi, où et quand ?</w:t>
      </w:r>
    </w:p>
    <w:p>
      <w:r>
        <w:rPr>
          <w:b/>
        </w:rPr>
        <w:t xml:space="preserve">Notes orateur : </w:t>
      </w:r>
      <w:r>
        <w:t>Le problème n'est pas seulement le manque de points sur une carte. Le vrai coût vient de l'absence de fraîcheur, de preuve et de confiance opérationnelle.</w:t>
      </w:r>
    </w:p>
    <w:p>
      <w:pPr>
        <w:pStyle w:val="Heading2"/>
      </w:pPr>
      <w:r>
        <w:t>3. La solution</w:t>
      </w:r>
    </w:p>
    <w:p>
      <w:r>
        <w:rPr>
          <w:b/>
        </w:rPr>
        <w:t xml:space="preserve">Message clé : </w:t>
      </w:r>
      <w:r>
        <w:t>Capturer, vérifier, réviser et publier le changement.</w:t>
      </w:r>
    </w:p>
    <w:p>
      <w:pPr>
        <w:pStyle w:val="ListBullet"/>
      </w:pPr>
      <w:r>
        <w:t>Les contributeurs soumettent photo, GPS, horodatage et champs métier.</w:t>
      </w:r>
    </w:p>
    <w:p>
      <w:pPr>
        <w:pStyle w:val="ListBullet"/>
      </w:pPr>
      <w:r>
        <w:t>La file hors ligne soutient les conditions de terrain intermittentes.</w:t>
      </w:r>
    </w:p>
    <w:p>
      <w:pPr>
        <w:pStyle w:val="ListBullet"/>
      </w:pPr>
      <w:r>
        <w:t>Le serveur vérifie EXIF, GPS, geofence, doublons et risque de fraude.</w:t>
      </w:r>
    </w:p>
    <w:p>
      <w:pPr>
        <w:pStyle w:val="ListBullet"/>
      </w:pPr>
      <w:r>
        <w:t>Les snapshots hebdomadaires montrent les nouveaux points, changements et disparitions.</w:t>
      </w:r>
    </w:p>
    <w:p>
      <w:r>
        <w:rPr>
          <w:b/>
        </w:rPr>
        <w:t xml:space="preserve">Notes orateur : </w:t>
      </w:r>
      <w:r>
        <w:t>La force du produit est la chaîne complète : collecte terrain simple, validation technique, revue admin, puis publication de deltas utiles aux acheteurs.</w:t>
      </w:r>
    </w:p>
    <w:p>
      <w:pPr>
        <w:pStyle w:val="Heading2"/>
      </w:pPr>
      <w:r>
        <w:t>4. Qui ADL sert</w:t>
      </w:r>
    </w:p>
    <w:p>
      <w:r>
        <w:rPr>
          <w:b/>
        </w:rPr>
        <w:t xml:space="preserve">Message clé : </w:t>
      </w:r>
      <w:r>
        <w:t>Une plateforme relie les contributeurs, les réviseurs et les consommateurs de données.</w:t>
      </w:r>
    </w:p>
    <w:p>
      <w:pPr>
        <w:pStyle w:val="ListBullet"/>
      </w:pPr>
      <w:r>
        <w:t>Agents terrain : collecte rapide, claire, utilisable dehors sur mobile.</w:t>
      </w:r>
    </w:p>
    <w:p>
      <w:pPr>
        <w:pStyle w:val="ListBullet"/>
      </w:pPr>
      <w:r>
        <w:t>Admins : triage des risques, revue qualité, coaching des contributeurs.</w:t>
      </w:r>
    </w:p>
    <w:p>
      <w:pPr>
        <w:pStyle w:val="ListBullet"/>
      </w:pPr>
      <w:r>
        <w:t>Clients : suivi de couverture, exports et décisions opérationnelles.</w:t>
      </w:r>
    </w:p>
    <w:p>
      <w:pPr>
        <w:pStyle w:val="ListBullet"/>
      </w:pPr>
      <w:r>
        <w:t>Segments initiaux : FMCG, fintech, logistique, ONG, secteur public.</w:t>
      </w:r>
    </w:p>
    <w:p>
      <w:r>
        <w:rPr>
          <w:b/>
        </w:rPr>
        <w:t xml:space="preserve">Notes orateur : </w:t>
      </w:r>
      <w:r>
        <w:t>Chaque côté renforce les autres. Les agents produisent les preuves, les admins protègent la qualité, les clients financent la fraîcheur.</w:t>
      </w:r>
    </w:p>
    <w:p>
      <w:pPr>
        <w:pStyle w:val="Heading2"/>
      </w:pPr>
      <w:r>
        <w:t>5. Preuve produit actuelle</w:t>
      </w:r>
    </w:p>
    <w:p>
      <w:r>
        <w:rPr>
          <w:b/>
        </w:rPr>
        <w:t xml:space="preserve">Message clé : </w:t>
      </w:r>
      <w:r>
        <w:t>Le dépôt montre une architecture produit réelle, pas seulement une maquette.</w:t>
      </w:r>
    </w:p>
    <w:p>
      <w:pPr>
        <w:pStyle w:val="ListBullet"/>
      </w:pPr>
      <w:r>
        <w:t>Application React / Vercel / Postgres avec surfaces agent, admin et client.</w:t>
      </w:r>
    </w:p>
    <w:p>
      <w:pPr>
        <w:pStyle w:val="ListBullet"/>
      </w:pPr>
      <w:r>
        <w:t>API pour soumissions, revue, analytics, confidentialité, auth et recherche IA.</w:t>
      </w:r>
    </w:p>
    <w:p>
      <w:pPr>
        <w:pStyle w:val="ListBullet"/>
      </w:pPr>
      <w:r>
        <w:t>Schémas Postgres, migrations, RLS, audit, fraude et analytics.</w:t>
      </w:r>
    </w:p>
    <w:p>
      <w:pPr>
        <w:pStyle w:val="ListBullet"/>
      </w:pPr>
      <w:r>
        <w:t>Coques mobiles Capacitor iOS/Android et tests automatisés.</w:t>
      </w:r>
    </w:p>
    <w:p>
      <w:r>
        <w:rPr>
          <w:b/>
        </w:rPr>
        <w:t xml:space="preserve">Notes orateur : </w:t>
      </w:r>
      <w:r>
        <w:t>Le bon niveau de preuve investisseur : l'équipe a déjà matérialisé les flux critiques. Les métriques de traction live restent à confirmer par les fondateurs.</w:t>
      </w:r>
    </w:p>
    <w:p>
      <w:pPr>
        <w:pStyle w:val="Heading2"/>
      </w:pPr>
      <w:r>
        <w:t>6. Le moat de confiance</w:t>
      </w:r>
    </w:p>
    <w:p>
      <w:r>
        <w:rPr>
          <w:b/>
        </w:rPr>
        <w:t xml:space="preserve">Message clé : </w:t>
      </w:r>
      <w:r>
        <w:t>La qualité compte plus que le volume.</w:t>
      </w:r>
    </w:p>
    <w:p>
      <w:pPr>
        <w:pStyle w:val="ListBullet"/>
      </w:pPr>
      <w:r>
        <w:t>Historique event-sourced des points et soumissions.</w:t>
      </w:r>
    </w:p>
    <w:p>
      <w:pPr>
        <w:pStyle w:val="ListBullet"/>
      </w:pPr>
      <w:r>
        <w:t>Validation photo, EXIF, localisation, vitesse et geofence.</w:t>
      </w:r>
    </w:p>
    <w:p>
      <w:pPr>
        <w:pStyle w:val="ListBullet"/>
      </w:pPr>
      <w:r>
        <w:t>Détection de doublons, score de risque et file de revue.</w:t>
      </w:r>
    </w:p>
    <w:p>
      <w:pPr>
        <w:pStyle w:val="ListBullet"/>
      </w:pPr>
      <w:r>
        <w:t>Contrôles de confidentialité, rétention, audit et consentement.</w:t>
      </w:r>
    </w:p>
    <w:p>
      <w:r>
        <w:rPr>
          <w:b/>
        </w:rPr>
        <w:t xml:space="preserve">Notes orateur : </w:t>
      </w:r>
      <w:r>
        <w:t>La défensibilité vient de la provenance. ADL peut expliquer pourquoi une donnée est fiable, fraîche et publiable.</w:t>
      </w:r>
    </w:p>
    <w:p>
      <w:pPr>
        <w:pStyle w:val="Heading2"/>
      </w:pPr>
      <w:r>
        <w:t>7. Pourquoi maintenant</w:t>
      </w:r>
    </w:p>
    <w:p>
      <w:r>
        <w:rPr>
          <w:b/>
        </w:rPr>
        <w:t xml:space="preserve">Message clé : </w:t>
      </w:r>
      <w:r>
        <w:t>La demande passe des cartes statiques à la fraîcheur vérifiée.</w:t>
      </w:r>
    </w:p>
    <w:p>
      <w:pPr>
        <w:pStyle w:val="ListBullet"/>
      </w:pPr>
      <w:r>
        <w:t>Les villes changent vite, surtout au niveau du dernier kilomètre.</w:t>
      </w:r>
    </w:p>
    <w:p>
      <w:pPr>
        <w:pStyle w:val="ListBullet"/>
      </w:pPr>
      <w:r>
        <w:t>Les smartphones rendent la collecte terrain plus scalable.</w:t>
      </w:r>
    </w:p>
    <w:p>
      <w:pPr>
        <w:pStyle w:val="ListBullet"/>
      </w:pPr>
      <w:r>
        <w:t>Les modèles IA ont besoin de données locales vérifiées, pas d'inputs faibles.</w:t>
      </w:r>
    </w:p>
    <w:p>
      <w:pPr>
        <w:pStyle w:val="ListBullet"/>
      </w:pPr>
      <w:r>
        <w:t>Les acheteurs veulent des signaux récents pour distribution, accès et risque.</w:t>
      </w:r>
    </w:p>
    <w:p>
      <w:r>
        <w:rPr>
          <w:b/>
        </w:rPr>
        <w:t xml:space="preserve">Notes orateur : </w:t>
      </w:r>
      <w:r>
        <w:t>L'IA ne résout pas une mauvaise vérité terrain. Elle augmente la valeur des données locales vérifiées et bien gouvernées.</w:t>
      </w:r>
    </w:p>
    <w:p>
      <w:pPr>
        <w:pStyle w:val="Heading2"/>
      </w:pPr>
      <w:r>
        <w:t>8. Modèles économiques possibles</w:t>
      </w:r>
    </w:p>
    <w:p>
      <w:r>
        <w:rPr>
          <w:b/>
        </w:rPr>
        <w:t xml:space="preserve">Message clé : </w:t>
      </w:r>
      <w:r>
        <w:t>Vendre la fraîcheur vérifiée, pas des points bruts.</w:t>
      </w:r>
    </w:p>
    <w:p>
      <w:pPr>
        <w:pStyle w:val="ListBullet"/>
      </w:pPr>
      <w:r>
        <w:t>Abonnements par quartier, catégorie ou ville.</w:t>
      </w:r>
    </w:p>
    <w:p>
      <w:pPr>
        <w:pStyle w:val="ListBullet"/>
      </w:pPr>
      <w:r>
        <w:t>Rapports projet pour infrastructure, accès ou expansion commerciale.</w:t>
      </w:r>
    </w:p>
    <w:p>
      <w:pPr>
        <w:pStyle w:val="ListBullet"/>
      </w:pPr>
      <w:r>
        <w:t>API et exports premium pour équipes data.</w:t>
      </w:r>
    </w:p>
    <w:p>
      <w:pPr>
        <w:pStyle w:val="ListBullet"/>
      </w:pPr>
      <w:r>
        <w:t>Campagnes payantes de validation ou couverture terrain.</w:t>
      </w:r>
    </w:p>
    <w:p>
      <w:r>
        <w:rPr>
          <w:b/>
        </w:rPr>
        <w:t xml:space="preserve">Notes orateur : </w:t>
      </w:r>
      <w:r>
        <w:t>Les fourchettes de prix du dépôt sont des hypothèses de modèle et de demande, pas des revenus prouvés. Le pricing réel doit être confirmé par les fondateurs.</w:t>
      </w:r>
    </w:p>
    <w:p>
      <w:pPr>
        <w:pStyle w:val="Heading2"/>
      </w:pPr>
      <w:r>
        <w:t>9. Roadmap</w:t>
      </w:r>
    </w:p>
    <w:p>
      <w:r>
        <w:rPr>
          <w:b/>
        </w:rPr>
        <w:t xml:space="preserve">Message clé : </w:t>
      </w:r>
      <w:r>
        <w:t>Prouver Bonamoussadi, étendre Douala, puis répliquer ville par ville.</w:t>
      </w:r>
    </w:p>
    <w:p>
      <w:pPr>
        <w:pStyle w:val="ListBullet"/>
      </w:pPr>
      <w:r>
        <w:t>Finaliser les preuves pilote : couverture, rétention, fraude, revue.</w:t>
      </w:r>
    </w:p>
    <w:p>
      <w:pPr>
        <w:pStyle w:val="ListBullet"/>
      </w:pPr>
      <w:r>
        <w:t>Convertir les premiers pilotes ou leads qualifiés en revenus.</w:t>
      </w:r>
    </w:p>
    <w:p>
      <w:pPr>
        <w:pStyle w:val="ListBullet"/>
      </w:pPr>
      <w:r>
        <w:t>Prioriser les verticales à haute valeur : mobile money, routes, carburant, commerce.</w:t>
      </w:r>
    </w:p>
    <w:p>
      <w:pPr>
        <w:pStyle w:val="ListBullet"/>
      </w:pPr>
      <w:r>
        <w:t>Renforcer exports client, alertes delta et intelligence spatiale explicable.</w:t>
      </w:r>
    </w:p>
    <w:p>
      <w:r>
        <w:rPr>
          <w:b/>
        </w:rPr>
        <w:t xml:space="preserve">Notes orateur : </w:t>
      </w:r>
      <w:r>
        <w:t>La roadmap doit rester disciplinée : prouver offre terrain + demande payante avant expansion géographique large.</w:t>
      </w:r>
    </w:p>
    <w:p>
      <w:pPr>
        <w:pStyle w:val="Heading2"/>
      </w:pPr>
      <w:r>
        <w:t>10. Demande de financement</w:t>
      </w:r>
    </w:p>
    <w:p>
      <w:r>
        <w:rPr>
          <w:b/>
        </w:rPr>
        <w:t xml:space="preserve">Message clé : </w:t>
      </w:r>
      <w:r>
        <w:t>Lever pour prouver une offre de données répétable et une demande payante.</w:t>
      </w:r>
    </w:p>
    <w:p>
      <w:pPr>
        <w:pStyle w:val="ListBullet"/>
      </w:pPr>
      <w:r>
        <w:t>Montant, runway et instrument : À confirmer par les fondateurs.</w:t>
      </w:r>
    </w:p>
    <w:p>
      <w:pPr>
        <w:pStyle w:val="ListBullet"/>
      </w:pPr>
      <w:r>
        <w:t>Usage : opérations contributeurs, field lead, ingénierie, ventes B2B, sécurité/compliance.</w:t>
      </w:r>
    </w:p>
    <w:p>
      <w:pPr>
        <w:pStyle w:val="ListBullet"/>
      </w:pPr>
      <w:r>
        <w:t>Milestones : points vérifiés, contributeurs actifs, fraîcheur, fraude, vitesse de revue.</w:t>
      </w:r>
    </w:p>
    <w:p>
      <w:pPr>
        <w:pStyle w:val="ListBullet"/>
      </w:pPr>
      <w:r>
        <w:t>Objectif : transformer un produit fonctionnel en moteur de données commercialisable.</w:t>
      </w:r>
    </w:p>
    <w:p>
      <w:r>
        <w:rPr>
          <w:b/>
        </w:rPr>
        <w:t xml:space="preserve">Notes orateur : </w:t>
      </w:r>
      <w:r>
        <w:t>La demande doit être liée à des jalons mesurables, pas à une expansion vague. Les investisseurs doivent voir exactement ce que le capital débloque.</w:t>
      </w:r>
    </w:p>
    <w:p>
      <w:r>
        <w:br w:type="page"/>
      </w:r>
    </w:p>
    <w:p>
      <w:pPr>
        <w:pStyle w:val="Heading1"/>
      </w:pPr>
      <w:r>
        <w:t>Pitch oral - 90 secondes</w:t>
      </w:r>
    </w:p>
    <w:p>
      <w:r>
        <w:t>African Data Layer transforme la preuve terrain locale en intelligence urbaine fiable.</w:t>
      </w:r>
    </w:p>
    <w:p>
      <w:r>
        <w:t>Dans beaucoup de villes africaines, la carte opérationnelle utilisée par les entreprises, les gouvernements et les organisations de développement est incomplète ou obsolète. Les routes se dégradent, les points mobile money bougent, les commerces ouvrent et ferment, l'accès au carburant change, et une grande partie de l'activité informelle n'apparaît jamais dans les bases officielles. Le résultat : des enquêtes terrain coûteuses, une planification lente et des décisions prises à partir de la carte d'hier.</w:t>
      </w:r>
    </w:p>
    <w:p>
      <w:r>
        <w:t>ADL part des personnes les plus proches du terrain. Les contributeurs capturent des points d'infrastructure et de marché avec photo, GPS, horodatage et champs spécifiques à chaque verticale. L'expérience est conçue pour le mobile, la connectivité intermittente et une contribution rapide. Derrière cela, la plateforme valide la localisation, les preuves photo, les signaux EXIF, les règles de geofence, les doublons et le risque de fraude avant revue admin et publication.</w:t>
      </w:r>
    </w:p>
    <w:p>
      <w:r>
        <w:t>La sortie n'est pas seulement une base de points. ADL produit des deltas hebdomadaires vérifiés : ce qui est nouveau, ce qui a changé, ce qui a disparu, où la couverture progresse et quels signaux sont suffisamment fiables pour les entreprises, les gouvernements et les acteurs du développement.</w:t>
      </w:r>
    </w:p>
    <w:p>
      <w:r>
        <w:t>Le dépôt montre une preuve produit réelle : application mobile-first, APIs de soumission, infrastructure de fraude et de revue, endpoints analytics, contrôles de confidentialité, migrations Postgres, coques mobiles Capacitor et tests automatisés.</w:t>
      </w:r>
    </w:p>
    <w:p>
      <w:r>
        <w:t>La prochaine étape est de confirmer les preuves terrain live : utilisateurs actifs, points vérifiés, conversations acheteurs, revenus éventuels et montant de financement nécessaire pour convertir ce produit en offre de données répétable et payante.</w:t>
      </w:r>
    </w:p>
    <w:p>
      <w:pPr>
        <w:pStyle w:val="Heading1"/>
      </w:pPr>
      <w:r>
        <w:t>Pitch oral - 3 minutes</w:t>
      </w:r>
    </w:p>
    <w:p>
      <w:r>
        <w:t>African Data Layer existe parce que les villes africaines changent plus vite que les datasets utilisés pour les comprendre.</w:t>
      </w:r>
    </w:p>
    <w:p>
      <w:r>
        <w:t>Pour les entreprises, les gouvernements et les organisations de développement, le problème central n'est pas seulement l'absence de données cartographiques. C'est l'absence de changement local vérifié. Une base statique de points d'intérêt ne dit pas si un kiosque mobile money fonctionne encore, si un tronçon de route s'est dégradé, si l'accès au carburant a changé ou si un nouveau cluster commercial apparaît. Là où l'économie informelle est importante, les registres officiels et les données satellites ne suffisent pas à décrire la réalité opérationnelle.</w:t>
      </w:r>
    </w:p>
    <w:p>
      <w:r>
        <w:t>La réponse d'ADL est une couche de données vérifiées sur le terrain. Des contributeurs locaux utilisent une application mobile-first pour capturer des données d'infrastructure et de commerce avec photos, GPS, horodatage et champs métier. L'expérience est pensée pour des téléphones de milieu de gamme, l'usage en extérieur, une connectivité intermittente et des actions très claires. Les contributeurs sont récompensés pour la qualité vérifiée, pas seulement pour le volume.</w:t>
      </w:r>
    </w:p>
    <w:p>
      <w:r>
        <w:t>Côté backend, chaque soumission passe par une chaîne de confiance. La plateforme vérifie l'intégrité de localisation, les signaux photo et EXIF, les règles de geofence, la vitesse, les doublons, la complétude d'enrichissement et le risque de fraude. Les administrateurs disposent d'une file de revue pour trier rapidement les cas à risque. Les données publiées deviennent un historique event-sourced des points, ce qui permet des snapshots et deltas hebdomadaires : nouveaux points, points retirés, attributs modifiés, fraîcheur, signaux d'anomalie et qualité de couverture.</w:t>
      </w:r>
    </w:p>
    <w:p>
      <w:r>
        <w:t>C'est le wedge commercial. ADL ne vend pas une IA générique ou des pins bruts sur une carte. ADL vend de la fraîcheur vérifiée. Les acheteurs potentiels incluent les équipes FMCG qui planifient la distribution, les fintechs qui cartographient leurs réseaux d'agents, les logisticiens qui optimisent les itinéraires, les gouvernements qui suivent l'infrastructure et les ONG qui mesurent l'accès aux services. Les modèles économiques possibles sont les abonnements data, les rapports projet, l'accès API, les campagnes de validation terrain et les exports premium.</w:t>
      </w:r>
    </w:p>
    <w:p>
      <w:r>
        <w:t>Le dépôt soutient déjà cette histoire. Il contient l'application mobile, les surfaces agent/admin/client, les APIs de soumission et de revue, les endpoints analytics, les tables fraude et audit, les politiques de confidentialité et de rétention, la documentation de delta intelligence, la configuration mobile Capacitor, le déploiement et les tests automatisés. C'est une preuve produit significative.</w:t>
      </w:r>
    </w:p>
    <w:p>
      <w:r>
        <w:t>Ce qui ne doit pas être inventé, c'est la traction. Le deck a encore besoin des fondateurs pour confirmer les points vérifiés live, les contributeurs actifs, les clients payants ou pilotes, les revenus, les partenariats, les biographies d'équipe, le montant exact de la levée, le runway et la validation marché. En attendant, la thèse la plus crédible est claire : African Data Layer a un produit techniquement solide pour collecter et vérifier la donnée urbaine du dernier kilomètre, avec un point d'entrée à Bonamoussadi et un chemin d'expansion vers Douala puis d'autres marchés urbains africains.</w:t>
      </w:r>
    </w:p>
    <w:p>
      <w:r>
        <w:t>L'histoire de financement doit rester fondée sur des milestones : prouver l'offre terrain répétable, prouver la demande payante, renforcer la confiance et la conformité, puis transformer la vérité terrain hebdomadaire en produit data que les entreprises et institutions peuvent utiliser.</w:t>
      </w:r>
    </w:p>
    <w:p>
      <w:pPr>
        <w:pStyle w:val="Heading1"/>
      </w:pPr>
      <w:r>
        <w:t>Checklist - À confirmer par les fondateurs</w:t>
      </w:r>
    </w:p>
    <w:p>
      <w:pPr>
        <w:pStyle w:val="ListBullet"/>
      </w:pPr>
      <w:r>
        <w:t>Traction live : contributeurs actifs, points vérifiés, soumissions, rétention, vitesse de revue.</w:t>
      </w:r>
    </w:p>
    <w:p>
      <w:pPr>
        <w:pStyle w:val="ListBullet"/>
      </w:pPr>
      <w:r>
        <w:t>Revenus : clients payants, contrats pilotes, LOIs ou pipeline qualifié.</w:t>
      </w:r>
    </w:p>
    <w:p>
      <w:pPr>
        <w:pStyle w:val="ListBullet"/>
      </w:pPr>
      <w:r>
        <w:t>Partenariats ou logos client confirmés.</w:t>
      </w:r>
    </w:p>
    <w:p>
      <w:pPr>
        <w:pStyle w:val="ListBullet"/>
      </w:pPr>
      <w:r>
        <w:t>Montant de levée, runway, valorisation attendue et instrument.</w:t>
      </w:r>
    </w:p>
    <w:p>
      <w:pPr>
        <w:pStyle w:val="ListBullet"/>
      </w:pPr>
      <w:r>
        <w:t>Biographies équipe, rôles, founder-market fit et présentateur à Nairobi.</w:t>
      </w:r>
    </w:p>
    <w:p>
      <w:pPr>
        <w:pStyle w:val="ListBullet"/>
      </w:pPr>
      <w:r>
        <w:t>Statut du pilote au 11 mai 2026 : terminé, en cours ou prévu.</w:t>
      </w:r>
    </w:p>
    <w:p>
      <w:pPr>
        <w:pStyle w:val="ListBullet"/>
      </w:pPr>
      <w:r>
        <w:t>Pricing confirmé et preuve de willingness-to-pay.</w:t>
      </w:r>
    </w:p>
    <w:p>
      <w:pPr>
        <w:pStyle w:val="ListBullet"/>
      </w:pPr>
      <w:r>
        <w:t>Statut mobile : TestFlight, Play Store, bêta interne ou stores publics.</w:t>
      </w:r>
    </w:p>
    <w:p>
      <w:pPr>
        <w:pStyle w:val="ListBullet"/>
      </w:pPr>
      <w:r>
        <w:t>Hypothèses de taille de marché au-delà des documents internes.</w:t>
      </w:r>
    </w:p>
    <w:p>
      <w:pPr>
        <w:pStyle w:val="ListBullet"/>
      </w:pPr>
      <w:r>
        <w:t>Droits de données propriétaires, permissions gouvernementales ou contraintes réglementaires.</w:t>
      </w:r>
    </w:p>
    <w:p>
      <w:pPr>
        <w:pStyle w:val="Heading1"/>
      </w:pPr>
      <w:r>
        <w:t>Carte des preuves dans le dépôt</w:t>
      </w:r>
    </w:p>
    <w:tbl>
      <w:tblPr>
        <w:tblStyle w:val="TableGrid"/>
        <w:tblW w:type="auto" w:w="0"/>
        <w:jc w:val="center"/>
        <w:tblLook w:firstColumn="1" w:firstRow="1" w:lastColumn="0" w:lastRow="0" w:noHBand="0" w:noVBand="1" w:val="04A0"/>
      </w:tblPr>
      <w:tblGrid>
        <w:gridCol w:w="5112"/>
        <w:gridCol w:w="5112"/>
      </w:tblGrid>
      <w:tr>
        <w:tc>
          <w:tcPr>
            <w:tcW w:type="dxa" w:w="5112"/>
            <w:shd w:fill="091F36"/>
          </w:tcPr>
          <w:p>
            <w:r>
              <w:rPr>
                <w:b/>
                <w:color w:val="FFFFFF"/>
              </w:rPr>
              <w:t>Claim / thème</w:t>
            </w:r>
          </w:p>
        </w:tc>
        <w:tc>
          <w:tcPr>
            <w:tcW w:type="dxa" w:w="5112"/>
            <w:shd w:fill="091F36"/>
          </w:tcPr>
          <w:p>
            <w:r>
              <w:rPr>
                <w:b/>
                <w:color w:val="FFFFFF"/>
              </w:rPr>
              <w:t>Fichiers de preuve</w:t>
            </w:r>
          </w:p>
        </w:tc>
      </w:tr>
      <w:tr>
        <w:tc>
          <w:tcPr>
            <w:tcW w:type="dxa" w:w="5112"/>
            <w:vAlign w:val="top"/>
          </w:tcPr>
          <w:p>
            <w:r>
              <w:t>Définition produit et périmètre</w:t>
            </w:r>
          </w:p>
        </w:tc>
        <w:tc>
          <w:tcPr>
            <w:tcW w:type="dxa" w:w="5112"/>
            <w:vAlign w:val="top"/>
          </w:tcPr>
          <w:p>
            <w:r>
              <w:t>README.md; AGENTS.md</w:t>
            </w:r>
          </w:p>
        </w:tc>
      </w:tr>
      <w:tr>
        <w:tc>
          <w:tcPr>
            <w:tcW w:type="dxa" w:w="5112"/>
            <w:vAlign w:val="top"/>
          </w:tcPr>
          <w:p>
            <w:r>
              <w:t>Contexte utilisateurs et principes design</w:t>
            </w:r>
          </w:p>
        </w:tc>
        <w:tc>
          <w:tcPr>
            <w:tcW w:type="dxa" w:w="5112"/>
            <w:vAlign w:val="top"/>
          </w:tcPr>
          <w:p>
            <w:r>
              <w:t>AGENTS.md; design/DEFINITIVE-UI-PLAN.md</w:t>
            </w:r>
          </w:p>
        </w:tc>
      </w:tr>
      <w:tr>
        <w:tc>
          <w:tcPr>
            <w:tcW w:type="dxa" w:w="5112"/>
            <w:vAlign w:val="top"/>
          </w:tcPr>
          <w:p>
            <w:r>
              <w:t>Workflow de soumission et chaîne de confiance</w:t>
            </w:r>
          </w:p>
        </w:tc>
        <w:tc>
          <w:tcPr>
            <w:tcW w:type="dxa" w:w="5112"/>
            <w:vAlign w:val="top"/>
          </w:tcPr>
          <w:p>
            <w:r>
              <w:t>api/submissions/index.ts; components/Screens/ContributionFlow.tsx</w:t>
            </w:r>
          </w:p>
        </w:tc>
      </w:tr>
      <w:tr>
        <w:tc>
          <w:tcPr>
            <w:tcW w:type="dxa" w:w="5112"/>
            <w:vAlign w:val="top"/>
          </w:tcPr>
          <w:p>
            <w:r>
              <w:t>Modèle de données et migrations</w:t>
            </w:r>
          </w:p>
        </w:tc>
        <w:tc>
          <w:tcPr>
            <w:tcW w:type="dxa" w:w="5112"/>
            <w:vAlign w:val="top"/>
          </w:tcPr>
          <w:p>
            <w:r>
              <w:t>supabase/migrations/20260219_init_adl.sql; supabase/migrations/20260305_fraud_analytics_foundation.sql</w:t>
            </w:r>
          </w:p>
        </w:tc>
      </w:tr>
      <w:tr>
        <w:tc>
          <w:tcPr>
            <w:tcW w:type="dxa" w:w="5112"/>
            <w:vAlign w:val="top"/>
          </w:tcPr>
          <w:p>
            <w:r>
              <w:t>Delta intelligence et analytics</w:t>
            </w:r>
          </w:p>
        </w:tc>
        <w:tc>
          <w:tcPr>
            <w:tcW w:type="dxa" w:w="5112"/>
            <w:vAlign w:val="top"/>
          </w:tcPr>
          <w:p>
            <w:r>
              <w:t>docs/delta-intelligence.md; api/analytics/index.ts</w:t>
            </w:r>
          </w:p>
        </w:tc>
      </w:tr>
      <w:tr>
        <w:tc>
          <w:tcPr>
            <w:tcW w:type="dxa" w:w="5112"/>
            <w:vAlign w:val="top"/>
          </w:tcPr>
          <w:p>
            <w:r>
              <w:t>IA spatiale et garde-fous</w:t>
            </w:r>
          </w:p>
        </w:tc>
        <w:tc>
          <w:tcPr>
            <w:tcW w:type="dxa" w:w="5112"/>
            <w:vAlign w:val="top"/>
          </w:tcPr>
          <w:p>
            <w:r>
              <w:t>docs/ai-spatial-intelligence-reporting.md</w:t>
            </w:r>
          </w:p>
        </w:tc>
      </w:tr>
      <w:tr>
        <w:tc>
          <w:tcPr>
            <w:tcW w:type="dxa" w:w="5112"/>
            <w:vAlign w:val="top"/>
          </w:tcPr>
          <w:p>
            <w:r>
              <w:t>Hypothèses commerciales et segments acheteurs</w:t>
            </w:r>
          </w:p>
        </w:tc>
        <w:tc>
          <w:tcPr>
            <w:tcW w:type="dxa" w:w="5112"/>
            <w:vAlign w:val="top"/>
          </w:tcPr>
          <w:p>
            <w:r>
              <w:t>docs/pitch/00-deck-source-matrix.md; docs/team/07-marketing-strategy.md</w:t>
            </w:r>
          </w:p>
        </w:tc>
      </w:tr>
      <w:tr>
        <w:tc>
          <w:tcPr>
            <w:tcW w:type="dxa" w:w="5112"/>
            <w:vAlign w:val="top"/>
          </w:tcPr>
          <w:p>
            <w:r>
              <w:t>Roadmap et jalons pilote</w:t>
            </w:r>
          </w:p>
        </w:tc>
        <w:tc>
          <w:tcPr>
            <w:tcW w:type="dxa" w:w="5112"/>
            <w:vAlign w:val="top"/>
          </w:tcPr>
          <w:p>
            <w:r>
              <w:t>docs/team/08-service-delivery-project-plan.md</w:t>
            </w:r>
          </w:p>
        </w:tc>
      </w:tr>
      <w:tr>
        <w:tc>
          <w:tcPr>
            <w:tcW w:type="dxa" w:w="5112"/>
            <w:vAlign w:val="top"/>
          </w:tcPr>
          <w:p>
            <w:r>
              <w:t>Distribution mobile</w:t>
            </w:r>
          </w:p>
        </w:tc>
        <w:tc>
          <w:tcPr>
            <w:tcW w:type="dxa" w:w="5112"/>
            <w:vAlign w:val="top"/>
          </w:tcPr>
          <w:p>
            <w:r>
              <w:t>docs/team/09-mobile-distribution.md; capacitor.config.ts</w:t>
            </w:r>
          </w:p>
        </w:tc>
      </w:tr>
      <w:tr>
        <w:tc>
          <w:tcPr>
            <w:tcW w:type="dxa" w:w="5112"/>
            <w:vAlign w:val="top"/>
          </w:tcPr>
          <w:p>
            <w:r>
              <w:t>Déploiement, tests et CI</w:t>
            </w:r>
          </w:p>
        </w:tc>
        <w:tc>
          <w:tcPr>
            <w:tcW w:type="dxa" w:w="5112"/>
            <w:vAlign w:val="top"/>
          </w:tcPr>
          <w:p>
            <w:r>
              <w:t>package.json; vercel.json; .github/workflows/ci.yml</w:t>
            </w:r>
          </w:p>
        </w:tc>
      </w:tr>
      <w:tr>
        <w:tc>
          <w:tcPr>
            <w:tcW w:type="dxa" w:w="5112"/>
            <w:vAlign w:val="top"/>
          </w:tcPr>
          <w:p>
            <w:r>
              <w:t>Confidentialité et rétention</w:t>
            </w:r>
          </w:p>
        </w:tc>
        <w:tc>
          <w:tcPr>
            <w:tcW w:type="dxa" w:w="5112"/>
            <w:vAlign w:val="top"/>
          </w:tcPr>
          <w:p>
            <w:r>
              <w:t>docs/compliance/privacy-policy-en.md; docs/compliance/data-retention-policy.md</w:t>
            </w:r>
          </w:p>
        </w:tc>
      </w:tr>
      <w:tr>
        <w:tc>
          <w:tcPr>
            <w:tcW w:type="dxa" w:w="5112"/>
            <w:vAlign w:val="top"/>
          </w:tcPr>
          <w:p>
            <w:r>
              <w:t>Écart documentaire</w:t>
            </w:r>
          </w:p>
        </w:tc>
        <w:tc>
          <w:tcPr>
            <w:tcW w:type="dxa" w:w="5112"/>
            <w:vAlign w:val="top"/>
          </w:tcPr>
          <w:p>
            <w:r>
              <w:t>RTK.md est référencé par AGENTS.md mais absent du dépôt inspecté</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African Data Layer - Pitch investisseurs FR - document généré depuis le dépôt, 11 mai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91F3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91F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