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0" w:firstLine="0"/>
        <w:rPr/>
      </w:pPr>
      <w:bookmarkStart w:colFirst="0" w:colLast="0" w:name="_nvrhdzulrzuk" w:id="0"/>
      <w:bookmarkEnd w:id="0"/>
      <w:r w:rsidDel="00000000" w:rsidR="00000000" w:rsidRPr="00000000">
        <w:rPr>
          <w:rtl w:val="0"/>
        </w:rPr>
        <w:t xml:space="preserve">Introduction/Business Problem Definition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On average, about 6 million traffic accidents occur every year, 3 million of which cause injury, resulting in more than 90 deaths. The severity of the collision must be documented by emergency responders and police officers in order to accurately define severity in future accidents, as well as appropriately allocate accident management resources. It can be difficult, however, to accurately classify accidents every single time and determine the weight of each factor in the collision. Developing a machine learning algorithm that will classify car accident severity using historical car accident data will assist government officials and law enforcement personnel in better allocating resources towards traffic accidents, and making adjustments based on factors affecting severity. As a result, the local government and Seattle Police Department can create a safer experience on the road for those driving in Seattle.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