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75414" w14:textId="1847A3E8" w:rsidR="00CA50EC" w:rsidRDefault="00142A59" w:rsidP="008B3F4A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 w:rsidRPr="00142A59">
        <w:rPr>
          <w:rFonts w:ascii="Times New Roman" w:hAnsi="Times New Roman" w:cs="Times New Roman"/>
          <w:b/>
          <w:bCs/>
        </w:rPr>
        <w:t xml:space="preserve">Supplement </w:t>
      </w:r>
      <w:r w:rsidR="00362A4D">
        <w:rPr>
          <w:rFonts w:ascii="Times New Roman" w:hAnsi="Times New Roman" w:cs="Times New Roman"/>
          <w:b/>
          <w:bCs/>
        </w:rPr>
        <w:t>10</w:t>
      </w:r>
      <w:r w:rsidRPr="00142A59">
        <w:rPr>
          <w:rFonts w:ascii="Times New Roman" w:hAnsi="Times New Roman" w:cs="Times New Roman"/>
          <w:b/>
          <w:bCs/>
        </w:rPr>
        <w:t xml:space="preserve">. Sensitivity analysis of statistical methods </w:t>
      </w:r>
      <w:r>
        <w:rPr>
          <w:rFonts w:ascii="Times New Roman" w:hAnsi="Times New Roman" w:cs="Times New Roman"/>
          <w:b/>
          <w:bCs/>
        </w:rPr>
        <w:t>using the smaller RT001 dataset.</w:t>
      </w:r>
    </w:p>
    <w:p w14:paraId="4AE11019" w14:textId="498C6012" w:rsidR="00142A59" w:rsidRDefault="00142A59" w:rsidP="008B3F4A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4E737F" wp14:editId="0211CB12">
            <wp:extent cx="7486022" cy="5103896"/>
            <wp:effectExtent l="0" t="0" r="0" b="0"/>
            <wp:docPr id="179208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82912" name="Picture 17920829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04093" cy="511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5440" w14:textId="0C7B2ACF" w:rsidR="00B52D5A" w:rsidRDefault="00142A59" w:rsidP="00B52D5A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Figure legend.</w:t>
      </w:r>
      <w:r>
        <w:rPr>
          <w:rFonts w:ascii="Times New Roman" w:hAnsi="Times New Roman" w:cs="Times New Roman"/>
        </w:rPr>
        <w:t xml:space="preserve"> </w:t>
      </w:r>
      <w:r w:rsidR="00E54E62" w:rsidRPr="00E54E62">
        <w:rPr>
          <w:rFonts w:ascii="Times New Roman" w:hAnsi="Times New Roman" w:cs="Times New Roman"/>
        </w:rPr>
        <w:t>he RT001 dataset comprises data from 43 patients randomized in a 1:1 ratio, with follow-up assessments conducted over 24 weeks at three post-baseline visits.</w:t>
      </w:r>
      <w:r w:rsidR="009247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left side of the figure displays the false-positive rate; the right-hand side of the figure displays the power. </w:t>
      </w:r>
      <w:r w:rsidRPr="00142A59">
        <w:rPr>
          <w:rFonts w:ascii="Times New Roman" w:hAnsi="Times New Roman" w:cs="Times New Roman"/>
        </w:rPr>
        <w:t xml:space="preserve">The filled points indicate the estimates when missing data is balanced, the open points when missing data is </w:t>
      </w:r>
      <w:r w:rsidRPr="00142A59">
        <w:rPr>
          <w:rFonts w:ascii="Times New Roman" w:hAnsi="Times New Roman" w:cs="Times New Roman"/>
        </w:rPr>
        <w:lastRenderedPageBreak/>
        <w:t xml:space="preserve">unbalanced; the crossed points indicate that the analysis in invalid (i.e., ≥10% false-positive rate). </w:t>
      </w:r>
      <w:r w:rsidRPr="00EE7101">
        <w:rPr>
          <w:rFonts w:ascii="Times New Roman" w:hAnsi="Times New Roman" w:cs="Times New Roman"/>
        </w:rPr>
        <w:t xml:space="preserve">The bars </w:t>
      </w:r>
      <w:r>
        <w:rPr>
          <w:rFonts w:ascii="Times New Roman" w:hAnsi="Times New Roman" w:cs="Times New Roman"/>
        </w:rPr>
        <w:t>represent</w:t>
      </w:r>
      <w:r w:rsidRPr="00EE7101">
        <w:rPr>
          <w:rFonts w:ascii="Times New Roman" w:hAnsi="Times New Roman" w:cs="Times New Roman"/>
        </w:rPr>
        <w:t xml:space="preserve"> the 95% confidence interval</w:t>
      </w:r>
      <w:r>
        <w:rPr>
          <w:rFonts w:ascii="Times New Roman" w:hAnsi="Times New Roman" w:cs="Times New Roman"/>
        </w:rPr>
        <w:t>s</w:t>
      </w:r>
      <w:r w:rsidRPr="00EE710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E</w:t>
      </w:r>
      <w:r w:rsidRPr="00EE7101">
        <w:rPr>
          <w:rFonts w:ascii="Times New Roman" w:hAnsi="Times New Roman" w:cs="Times New Roman"/>
        </w:rPr>
        <w:t xml:space="preserve">stimates are </w:t>
      </w:r>
      <w:r>
        <w:rPr>
          <w:rFonts w:ascii="Times New Roman" w:hAnsi="Times New Roman" w:cs="Times New Roman"/>
        </w:rPr>
        <w:t xml:space="preserve">sorted according to </w:t>
      </w:r>
      <w:r w:rsidRPr="00EE7101">
        <w:rPr>
          <w:rFonts w:ascii="Times New Roman" w:hAnsi="Times New Roman" w:cs="Times New Roman"/>
        </w:rPr>
        <w:t xml:space="preserve">the estimand </w:t>
      </w:r>
      <w:r>
        <w:rPr>
          <w:rFonts w:ascii="Times New Roman" w:hAnsi="Times New Roman" w:cs="Times New Roman"/>
        </w:rPr>
        <w:t>strategy</w:t>
      </w:r>
      <w:r w:rsidRPr="00EE7101">
        <w:rPr>
          <w:rFonts w:ascii="Times New Roman" w:hAnsi="Times New Roman" w:cs="Times New Roman"/>
        </w:rPr>
        <w:t xml:space="preserve"> for handling missing data.</w:t>
      </w:r>
      <w:r w:rsidR="008B3F4A">
        <w:rPr>
          <w:rFonts w:ascii="Times New Roman" w:hAnsi="Times New Roman" w:cs="Times New Roman"/>
        </w:rPr>
        <w:t xml:space="preserve"> </w:t>
      </w:r>
      <w:r w:rsidR="008B3F4A" w:rsidRPr="008B3F4A">
        <w:rPr>
          <w:rFonts w:ascii="Times New Roman" w:hAnsi="Times New Roman" w:cs="Times New Roman"/>
        </w:rPr>
        <w:t>Analyses using repeated measures ANOVA were adjusted using the Greenhouse-Geisser correction. For missing data strategies, ‘–‘ indicates implicit missing data handling (i.e., in random-effects models and MMRMs). Abbreviations: MSD = missing data strategy; PB TURSO = sodium phenylbutyrate-taurursodiol; G-CSF = granulocyte-colony stimulating factor; PT = pioglitazone HCI and tretinoin; BRC = bromocriptine mesylate; COQ10 = coenzyme Q10; RE-slope = random-effects model; RE-int = random-intercept model; RM-ANOVA = repeated measures analysis of variance; lin-reg = linear regression; MMRM = mixed model for repeated measures; non-param = non-parametric analysis; CC = complete case analysis; LOCF = last observation carried forward; MI = multiple imputation; LCV = last common visit.</w:t>
      </w:r>
    </w:p>
    <w:p w14:paraId="6CFDCD11" w14:textId="1D4F7880" w:rsidR="008B3F4A" w:rsidRDefault="00812CBA" w:rsidP="00812CBA">
      <w:pPr>
        <w:pStyle w:val="NoSpacing"/>
        <w:spacing w:line="276" w:lineRule="auto"/>
        <w:rPr>
          <w:rFonts w:ascii="Times New Roman" w:hAnsi="Times New Roman" w:cs="Times New Roman"/>
        </w:rPr>
      </w:pPr>
      <w:r w:rsidRPr="00812CBA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S</w:t>
      </w:r>
      <w:r w:rsidRPr="00812CBA">
        <w:rPr>
          <w:rFonts w:ascii="Times New Roman" w:hAnsi="Times New Roman" w:cs="Times New Roman"/>
        </w:rPr>
        <w:t>ix trials are omitted since their analyses correspond to the methods already represented by dexpramipexole, G-CSF, or perampanel</w:t>
      </w:r>
      <w:r>
        <w:rPr>
          <w:rFonts w:ascii="Times New Roman" w:hAnsi="Times New Roman" w:cs="Times New Roman"/>
        </w:rPr>
        <w:t>.</w:t>
      </w:r>
      <w:r w:rsidR="008B3F4A" w:rsidRPr="008B3F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* </w:t>
      </w:r>
      <w:r w:rsidR="008B3F4A" w:rsidRPr="008B3F4A">
        <w:rPr>
          <w:rFonts w:ascii="Times New Roman" w:hAnsi="Times New Roman" w:cs="Times New Roman"/>
        </w:rPr>
        <w:t>Edaravone (2017a) is the larger 2017 trial (PMID: 28522181) and edaravone (2017b) is the smaller 2017 trial (PMID: 28872915).</w:t>
      </w:r>
    </w:p>
    <w:p w14:paraId="054604B1" w14:textId="40C97ADC" w:rsidR="00B52D5A" w:rsidRPr="00142A59" w:rsidRDefault="00B52D5A" w:rsidP="008B3F4A">
      <w:pPr>
        <w:pStyle w:val="NoSpacing"/>
        <w:spacing w:line="276" w:lineRule="auto"/>
        <w:rPr>
          <w:rFonts w:ascii="Times New Roman" w:hAnsi="Times New Roman" w:cs="Times New Roman"/>
        </w:rPr>
      </w:pPr>
    </w:p>
    <w:sectPr w:rsidR="00B52D5A" w:rsidRPr="00142A59" w:rsidSect="00142A5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643"/>
    <w:multiLevelType w:val="hybridMultilevel"/>
    <w:tmpl w:val="A300C024"/>
    <w:lvl w:ilvl="0" w:tplc="F67695B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86E96"/>
    <w:multiLevelType w:val="hybridMultilevel"/>
    <w:tmpl w:val="0B8A1166"/>
    <w:lvl w:ilvl="0" w:tplc="25E0643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895990"/>
    <w:multiLevelType w:val="hybridMultilevel"/>
    <w:tmpl w:val="08AADEB4"/>
    <w:lvl w:ilvl="0" w:tplc="6D04C68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310475">
    <w:abstractNumId w:val="2"/>
  </w:num>
  <w:num w:numId="2" w16cid:durableId="2100832044">
    <w:abstractNumId w:val="0"/>
  </w:num>
  <w:num w:numId="3" w16cid:durableId="709839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59"/>
    <w:rsid w:val="00142A59"/>
    <w:rsid w:val="001A1415"/>
    <w:rsid w:val="002100C2"/>
    <w:rsid w:val="00362A4D"/>
    <w:rsid w:val="003C4B7C"/>
    <w:rsid w:val="00697ACF"/>
    <w:rsid w:val="00812CBA"/>
    <w:rsid w:val="00867E4A"/>
    <w:rsid w:val="008B3F4A"/>
    <w:rsid w:val="009247E6"/>
    <w:rsid w:val="00B166B2"/>
    <w:rsid w:val="00B52D5A"/>
    <w:rsid w:val="00C6275B"/>
    <w:rsid w:val="00CA50EC"/>
    <w:rsid w:val="00D146D2"/>
    <w:rsid w:val="00E5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C0E052"/>
  <w15:chartTrackingRefBased/>
  <w15:docId w15:val="{B629926A-AD2C-FB4E-BFA5-7CEDAC95C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A5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42A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Weemering, D.N. (Daphne)</dc:creator>
  <cp:keywords/>
  <dc:description/>
  <cp:lastModifiedBy>Weemering, D.N. (Daphne)</cp:lastModifiedBy>
  <cp:revision>6</cp:revision>
  <dcterms:created xsi:type="dcterms:W3CDTF">2025-09-03T14:01:00Z</dcterms:created>
  <dcterms:modified xsi:type="dcterms:W3CDTF">2025-09-04T08:04:00Z</dcterms:modified>
</cp:coreProperties>
</file>