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14B8" w14:textId="2C42BF73" w:rsidR="00CA50EC" w:rsidRDefault="00BB6E8D" w:rsidP="00BB6E8D">
      <w:pPr>
        <w:spacing w:line="276" w:lineRule="auto"/>
        <w:rPr>
          <w:rFonts w:ascii="Times New Roman" w:hAnsi="Times New Roman" w:cs="Times New Roman"/>
          <w:b/>
          <w:bCs/>
        </w:rPr>
      </w:pPr>
      <w:r w:rsidRPr="00BB6E8D">
        <w:rPr>
          <w:rFonts w:ascii="Times New Roman" w:hAnsi="Times New Roman" w:cs="Times New Roman"/>
          <w:b/>
          <w:bCs/>
        </w:rPr>
        <w:t>Supplement 3. Method-specific adjustments</w:t>
      </w:r>
      <w:r w:rsidR="00E608C5">
        <w:rPr>
          <w:rFonts w:ascii="Times New Roman" w:hAnsi="Times New Roman" w:cs="Times New Roman"/>
          <w:b/>
          <w:bCs/>
        </w:rPr>
        <w:t xml:space="preserve"> and assumptions</w:t>
      </w:r>
      <w:r w:rsidRPr="00BB6E8D">
        <w:rPr>
          <w:rFonts w:ascii="Times New Roman" w:hAnsi="Times New Roman" w:cs="Times New Roman"/>
          <w:b/>
          <w:bCs/>
        </w:rPr>
        <w:t xml:space="preserve"> per </w:t>
      </w:r>
      <w:r>
        <w:rPr>
          <w:rFonts w:ascii="Times New Roman" w:hAnsi="Times New Roman" w:cs="Times New Roman"/>
          <w:b/>
          <w:bCs/>
        </w:rPr>
        <w:t>trial.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246"/>
        <w:gridCol w:w="2979"/>
        <w:gridCol w:w="8730"/>
      </w:tblGrid>
      <w:tr w:rsidR="00D63909" w14:paraId="503FF7B4" w14:textId="453CC1A0" w:rsidTr="00D63909">
        <w:tc>
          <w:tcPr>
            <w:tcW w:w="1246" w:type="dxa"/>
          </w:tcPr>
          <w:p w14:paraId="66F2928B" w14:textId="2BE425C2" w:rsidR="00D63909" w:rsidRPr="007A5B34" w:rsidRDefault="00D63909" w:rsidP="00BB6E8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Reference number</w:t>
            </w:r>
          </w:p>
        </w:tc>
        <w:tc>
          <w:tcPr>
            <w:tcW w:w="2979" w:type="dxa"/>
          </w:tcPr>
          <w:p w14:paraId="02ECC4A1" w14:textId="09A6D7EC" w:rsidR="00D63909" w:rsidRPr="00D63909" w:rsidRDefault="00D63909" w:rsidP="00BB6E8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First author, </w:t>
            </w:r>
            <w:r w:rsidR="00460462">
              <w:rPr>
                <w:rFonts w:ascii="Times New Roman" w:hAnsi="Times New Roman" w:cs="Times New Roman"/>
                <w:b/>
                <w:bCs/>
              </w:rPr>
              <w:t xml:space="preserve">publication </w:t>
            </w:r>
            <w:r>
              <w:rPr>
                <w:rFonts w:ascii="Times New Roman" w:hAnsi="Times New Roman" w:cs="Times New Roman"/>
                <w:b/>
                <w:bCs/>
              </w:rPr>
              <w:t>year, treatment</w:t>
            </w:r>
          </w:p>
        </w:tc>
        <w:tc>
          <w:tcPr>
            <w:tcW w:w="8730" w:type="dxa"/>
          </w:tcPr>
          <w:p w14:paraId="46DCF516" w14:textId="37CEE7E5" w:rsidR="00D63909" w:rsidRPr="00D63909" w:rsidRDefault="00D63909" w:rsidP="00BB6E8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Adjustments made to the analysis</w:t>
            </w:r>
          </w:p>
        </w:tc>
      </w:tr>
      <w:tr w:rsidR="00D63909" w14:paraId="49FDD7B9" w14:textId="25B31E4B" w:rsidTr="00D63909">
        <w:tc>
          <w:tcPr>
            <w:tcW w:w="1246" w:type="dxa"/>
          </w:tcPr>
          <w:p w14:paraId="410E9C78" w14:textId="177B9A56" w:rsidR="00D63909" w:rsidRDefault="00D63909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9" w:type="dxa"/>
          </w:tcPr>
          <w:p w14:paraId="68957D89" w14:textId="4208DAD3" w:rsidR="00D63909" w:rsidRDefault="00D63909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Abe, 2014, edaravone</w:t>
            </w:r>
          </w:p>
        </w:tc>
        <w:tc>
          <w:tcPr>
            <w:tcW w:w="8730" w:type="dxa"/>
          </w:tcPr>
          <w:p w14:paraId="639DD9CB" w14:textId="11AF4735" w:rsidR="00D63909" w:rsidRDefault="00D63909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Due to unavailability of pre-observation period, instead of dichotomized change during pre-observation period (values: -4, -3 or -2, -1), we added the pre-treatment slope (delta-FRS) as covariate. Delta-FRS is the slope between symptom onset and trial baseline. </w:t>
            </w:r>
          </w:p>
        </w:tc>
      </w:tr>
      <w:tr w:rsidR="00D63909" w14:paraId="1E2AE422" w14:textId="39B92394" w:rsidTr="00D63909">
        <w:tc>
          <w:tcPr>
            <w:tcW w:w="1246" w:type="dxa"/>
          </w:tcPr>
          <w:p w14:paraId="2A499DB7" w14:textId="500168FE" w:rsidR="00D63909" w:rsidRDefault="00AB2ED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9" w:type="dxa"/>
          </w:tcPr>
          <w:p w14:paraId="65343039" w14:textId="7C658922" w:rsidR="00D63909" w:rsidRDefault="00AB2ED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Abe, 2017, edaravone</w:t>
            </w:r>
          </w:p>
        </w:tc>
        <w:tc>
          <w:tcPr>
            <w:tcW w:w="8730" w:type="dxa"/>
          </w:tcPr>
          <w:p w14:paraId="0E96AEA6" w14:textId="5E4AE27F" w:rsidR="00D63909" w:rsidRDefault="00AB2ED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Due to unavailability of pre-observation period, instead of dichotomized change during pre-observation period (values: -4, -3 or -2, -1), we added the pre-treatment slope (delta-FRS) as covariate. Delta-FRS is the slope between symptom onset and trial baseline.</w:t>
            </w:r>
          </w:p>
        </w:tc>
      </w:tr>
      <w:tr w:rsidR="00D63909" w14:paraId="5075EC96" w14:textId="45B6CD87" w:rsidTr="00D63909">
        <w:tc>
          <w:tcPr>
            <w:tcW w:w="1246" w:type="dxa"/>
          </w:tcPr>
          <w:p w14:paraId="6E7EB5A1" w14:textId="76F0D33D" w:rsidR="00D63909" w:rsidRDefault="006429D1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9" w:type="dxa"/>
          </w:tcPr>
          <w:p w14:paraId="0E0AD40F" w14:textId="1D4CF3F4" w:rsidR="00D63909" w:rsidRDefault="006429D1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Abe, 2017, edaravone</w:t>
            </w:r>
          </w:p>
        </w:tc>
        <w:tc>
          <w:tcPr>
            <w:tcW w:w="8730" w:type="dxa"/>
          </w:tcPr>
          <w:p w14:paraId="10F788DD" w14:textId="6019A9D9" w:rsidR="00D63909" w:rsidRDefault="006429D1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Due to unavailability of pre-observation period, instead of dichotomized change during pre-observation period (values: -4, -3 or -2, -1), we added the pre-treatment slope (delta-FRS) as covariate. Delta-FRS is the slope between symptom onset and trial baseline.</w:t>
            </w:r>
          </w:p>
        </w:tc>
      </w:tr>
      <w:tr w:rsidR="00D63909" w14:paraId="6B97FA3F" w14:textId="034A5171" w:rsidTr="00D63909">
        <w:tc>
          <w:tcPr>
            <w:tcW w:w="1246" w:type="dxa"/>
          </w:tcPr>
          <w:p w14:paraId="5702059E" w14:textId="2FE8C79C" w:rsidR="00D63909" w:rsidRDefault="00DC5554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79" w:type="dxa"/>
          </w:tcPr>
          <w:p w14:paraId="039E510C" w14:textId="23BA4D50" w:rsidR="00D63909" w:rsidRDefault="00DC5554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Boll, 2022, </w:t>
            </w:r>
            <w:r w:rsidRPr="00DC5554">
              <w:rPr>
                <w:rFonts w:ascii="Times New Roman" w:hAnsi="Times New Roman" w:cs="Times New Roman"/>
              </w:rPr>
              <w:t>valproate/lithium</w:t>
            </w:r>
          </w:p>
        </w:tc>
        <w:tc>
          <w:tcPr>
            <w:tcW w:w="8730" w:type="dxa"/>
          </w:tcPr>
          <w:p w14:paraId="552316A5" w14:textId="0CA7AAB8" w:rsidR="00D63909" w:rsidRDefault="00DC5554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 assumed that a sphericity correction was made to the p-value of the test statistic of the repeated measures ANOVA in case the sphericity assumption was violated.</w:t>
            </w:r>
            <w:r w:rsidR="008D225E">
              <w:rPr>
                <w:rFonts w:ascii="Times New Roman" w:hAnsi="Times New Roman" w:cs="Times New Roman"/>
              </w:rPr>
              <w:t xml:space="preserve"> We also assumed complete case analysis, as is the standard in statistical software packages. </w:t>
            </w:r>
          </w:p>
        </w:tc>
      </w:tr>
      <w:tr w:rsidR="00D63909" w14:paraId="2BECFFF2" w14:textId="3E28936E" w:rsidTr="00D63909">
        <w:tc>
          <w:tcPr>
            <w:tcW w:w="1246" w:type="dxa"/>
          </w:tcPr>
          <w:p w14:paraId="40682844" w14:textId="473C92E1" w:rsidR="00D63909" w:rsidRDefault="004E1AF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979" w:type="dxa"/>
          </w:tcPr>
          <w:p w14:paraId="76DD8966" w14:textId="5779ACC6" w:rsidR="00D63909" w:rsidRDefault="004E1AF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 Carvalho, 2010, memantine</w:t>
            </w:r>
          </w:p>
        </w:tc>
        <w:tc>
          <w:tcPr>
            <w:tcW w:w="8730" w:type="dxa"/>
          </w:tcPr>
          <w:p w14:paraId="35ACCB7D" w14:textId="0CA04554" w:rsidR="00D63909" w:rsidRDefault="00356F1B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 assumed a repeated measures ANOVA, which was not explicitly mentioned, but based on the presentation of the results.</w:t>
            </w:r>
            <w:r w:rsidR="00376347">
              <w:rPr>
                <w:rFonts w:ascii="Times New Roman" w:hAnsi="Times New Roman" w:cs="Times New Roman"/>
              </w:rPr>
              <w:t xml:space="preserve"> Furthermore, we assumed that a sphericity correction was made to the p-value of the test statistic of the repeated measures ANOVA in case the sphericity assumption was violated.</w:t>
            </w:r>
          </w:p>
        </w:tc>
      </w:tr>
      <w:tr w:rsidR="00D63909" w14:paraId="47683C29" w14:textId="41073CCC" w:rsidTr="00D63909">
        <w:tc>
          <w:tcPr>
            <w:tcW w:w="1246" w:type="dxa"/>
          </w:tcPr>
          <w:p w14:paraId="3E23C45A" w14:textId="24F04B91" w:rsidR="00D63909" w:rsidRDefault="00A945B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979" w:type="dxa"/>
          </w:tcPr>
          <w:p w14:paraId="7D307793" w14:textId="383BBA65" w:rsidR="00D63909" w:rsidRDefault="00A945B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 la Rubia, 2019, EH301</w:t>
            </w:r>
          </w:p>
        </w:tc>
        <w:tc>
          <w:tcPr>
            <w:tcW w:w="8730" w:type="dxa"/>
          </w:tcPr>
          <w:p w14:paraId="4DB43566" w14:textId="22480D62" w:rsidR="00D63909" w:rsidRDefault="0050595A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 assumed that a complete case analysis was done. This was not explicitly mentioned, but it is the default when a t-test is done in statistical software. </w:t>
            </w:r>
          </w:p>
        </w:tc>
      </w:tr>
      <w:tr w:rsidR="00D63909" w14:paraId="2BA41915" w14:textId="15717B59" w:rsidTr="00D63909">
        <w:tc>
          <w:tcPr>
            <w:tcW w:w="1246" w:type="dxa"/>
          </w:tcPr>
          <w:p w14:paraId="04D8D12E" w14:textId="207460E7" w:rsidR="00D63909" w:rsidRDefault="00DE2254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979" w:type="dxa"/>
          </w:tcPr>
          <w:p w14:paraId="0CDD94DA" w14:textId="46849501" w:rsidR="00D63909" w:rsidRDefault="00DE2254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Genge, 2023, ravulizumab</w:t>
            </w:r>
          </w:p>
        </w:tc>
        <w:tc>
          <w:tcPr>
            <w:tcW w:w="8730" w:type="dxa"/>
          </w:tcPr>
          <w:p w14:paraId="3D95D162" w14:textId="06D40CDE" w:rsidR="00D63909" w:rsidRDefault="00DE2254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Edaravone use was not available in the ceftriaxone dataset. Therefore, this variable was not included in the statistical model. </w:t>
            </w:r>
          </w:p>
        </w:tc>
      </w:tr>
      <w:tr w:rsidR="00C05F19" w14:paraId="3CCC1CD8" w14:textId="77777777" w:rsidTr="00D63909">
        <w:tc>
          <w:tcPr>
            <w:tcW w:w="1246" w:type="dxa"/>
          </w:tcPr>
          <w:p w14:paraId="5902988F" w14:textId="6256A23C" w:rsidR="00C05F19" w:rsidRDefault="00BC6183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979" w:type="dxa"/>
          </w:tcPr>
          <w:p w14:paraId="53A39418" w14:textId="474C9F78" w:rsidR="00C05F19" w:rsidRDefault="00BC6183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Gordon, 2007, </w:t>
            </w:r>
            <w:r w:rsidRPr="006E3A6E">
              <w:rPr>
                <w:rFonts w:ascii="Times New Roman" w:hAnsi="Times New Roman" w:cs="Times New Roman"/>
              </w:rPr>
              <w:t>minocycline</w:t>
            </w:r>
          </w:p>
        </w:tc>
        <w:tc>
          <w:tcPr>
            <w:tcW w:w="8730" w:type="dxa"/>
          </w:tcPr>
          <w:p w14:paraId="45753702" w14:textId="680D93A7" w:rsidR="00C05F19" w:rsidRDefault="00BC6183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Separate modeling of pre-treatment and on-treatment slopes was not possible due to unavailability of pre-observation period. Therefore, only the on-treatment slope is modeled.</w:t>
            </w:r>
          </w:p>
        </w:tc>
      </w:tr>
      <w:tr w:rsidR="00C05F19" w14:paraId="55880CD4" w14:textId="77777777" w:rsidTr="00D63909">
        <w:tc>
          <w:tcPr>
            <w:tcW w:w="1246" w:type="dxa"/>
          </w:tcPr>
          <w:p w14:paraId="7D7B717E" w14:textId="70F764EC" w:rsidR="00C05F19" w:rsidRDefault="00E22E6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979" w:type="dxa"/>
          </w:tcPr>
          <w:p w14:paraId="03BDE59D" w14:textId="13724141" w:rsidR="00C05F19" w:rsidRDefault="00E22E6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Levine, 2012, </w:t>
            </w:r>
            <w:r w:rsidRPr="00E22E68">
              <w:rPr>
                <w:rFonts w:ascii="Times New Roman" w:hAnsi="Times New Roman" w:cs="Times New Roman"/>
              </w:rPr>
              <w:t>pioglitazone HCI-tretinoin</w:t>
            </w:r>
          </w:p>
        </w:tc>
        <w:tc>
          <w:tcPr>
            <w:tcW w:w="8730" w:type="dxa"/>
          </w:tcPr>
          <w:p w14:paraId="271E6EA9" w14:textId="57C8FD31" w:rsidR="00C05F19" w:rsidRDefault="00E22E68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 assumed that a complete case analysis was done. This was not explicitly mentioned, but it is the default when a t-test is done in statistical software.</w:t>
            </w:r>
          </w:p>
        </w:tc>
      </w:tr>
      <w:tr w:rsidR="00C05F19" w14:paraId="224AAB5B" w14:textId="77777777" w:rsidTr="00D63909">
        <w:tc>
          <w:tcPr>
            <w:tcW w:w="1246" w:type="dxa"/>
          </w:tcPr>
          <w:p w14:paraId="5F610D23" w14:textId="714C4B85" w:rsidR="00C05F19" w:rsidRDefault="00C163A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23</w:t>
            </w:r>
          </w:p>
        </w:tc>
        <w:tc>
          <w:tcPr>
            <w:tcW w:w="2979" w:type="dxa"/>
          </w:tcPr>
          <w:p w14:paraId="2941D5AD" w14:textId="07A85308" w:rsidR="00C05F19" w:rsidRDefault="00C163A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Meininger, 2009, </w:t>
            </w:r>
            <w:r w:rsidRPr="00C163A7">
              <w:rPr>
                <w:rFonts w:ascii="Times New Roman" w:hAnsi="Times New Roman" w:cs="Times New Roman"/>
              </w:rPr>
              <w:t>glatiramer</w:t>
            </w:r>
          </w:p>
        </w:tc>
        <w:tc>
          <w:tcPr>
            <w:tcW w:w="8730" w:type="dxa"/>
          </w:tcPr>
          <w:p w14:paraId="5DAF1F25" w14:textId="310C5DB8" w:rsidR="00C05F19" w:rsidRDefault="00C163A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was not available in the ceftriaxone dataset. Therefore, this variable was not included in the statistical model.</w:t>
            </w:r>
          </w:p>
        </w:tc>
      </w:tr>
      <w:tr w:rsidR="00C05F19" w14:paraId="25BF27AF" w14:textId="77777777" w:rsidTr="00D63909">
        <w:tc>
          <w:tcPr>
            <w:tcW w:w="1246" w:type="dxa"/>
          </w:tcPr>
          <w:p w14:paraId="259C7E87" w14:textId="65471F5D" w:rsidR="00C05F19" w:rsidRDefault="00AF6A3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979" w:type="dxa"/>
          </w:tcPr>
          <w:p w14:paraId="7FAECAEB" w14:textId="53531F4C" w:rsidR="00C05F19" w:rsidRDefault="00AF6A3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Meininger, 2017, </w:t>
            </w:r>
            <w:r w:rsidRPr="00AF6A37">
              <w:rPr>
                <w:rFonts w:ascii="Times New Roman" w:hAnsi="Times New Roman" w:cs="Times New Roman"/>
              </w:rPr>
              <w:t>ozanezumab</w:t>
            </w:r>
          </w:p>
        </w:tc>
        <w:tc>
          <w:tcPr>
            <w:tcW w:w="8730" w:type="dxa"/>
          </w:tcPr>
          <w:p w14:paraId="6FAB9D51" w14:textId="07673809" w:rsidR="00C05F19" w:rsidRDefault="00AF6A37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was not available in the ceftriaxone dataset. Therefore, this variable was not included in the statistical model.</w:t>
            </w:r>
          </w:p>
        </w:tc>
      </w:tr>
      <w:tr w:rsidR="00C05F19" w14:paraId="26D14EFD" w14:textId="77777777" w:rsidTr="00D63909">
        <w:tc>
          <w:tcPr>
            <w:tcW w:w="1246" w:type="dxa"/>
          </w:tcPr>
          <w:p w14:paraId="316236C6" w14:textId="77F6500F" w:rsidR="00C05F19" w:rsidRDefault="00762D1A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979" w:type="dxa"/>
          </w:tcPr>
          <w:p w14:paraId="1FDC0760" w14:textId="601B7F34" w:rsidR="00C05F19" w:rsidRDefault="00762D1A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Miller, 2007, </w:t>
            </w:r>
            <w:r w:rsidRPr="00762D1A">
              <w:rPr>
                <w:rFonts w:ascii="Times New Roman" w:hAnsi="Times New Roman" w:cs="Times New Roman"/>
              </w:rPr>
              <w:t>TCH346</w:t>
            </w:r>
          </w:p>
        </w:tc>
        <w:tc>
          <w:tcPr>
            <w:tcW w:w="8730" w:type="dxa"/>
          </w:tcPr>
          <w:p w14:paraId="57139F40" w14:textId="11FA8FC4" w:rsidR="00C05F19" w:rsidRDefault="006A4F03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Separate modeling of pre-treatment and on-treatment slopes was not possible due to unavailability of pre-observation period. Therefore, only the on-treatment slope is modeled.</w:t>
            </w:r>
          </w:p>
        </w:tc>
      </w:tr>
      <w:tr w:rsidR="00C05F19" w14:paraId="7F031BF1" w14:textId="77777777" w:rsidTr="00D63909">
        <w:tc>
          <w:tcPr>
            <w:tcW w:w="1246" w:type="dxa"/>
          </w:tcPr>
          <w:p w14:paraId="46D01999" w14:textId="03C8DB55" w:rsidR="00C05F19" w:rsidRDefault="00D47391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979" w:type="dxa"/>
          </w:tcPr>
          <w:p w14:paraId="3872ECAE" w14:textId="0C873928" w:rsidR="00C05F19" w:rsidRDefault="00D47391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Miller, 2022, NP001</w:t>
            </w:r>
          </w:p>
        </w:tc>
        <w:tc>
          <w:tcPr>
            <w:tcW w:w="8730" w:type="dxa"/>
          </w:tcPr>
          <w:p w14:paraId="2BEEB0D8" w14:textId="7FCC27E1" w:rsidR="00C05F19" w:rsidRDefault="00D47391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Due to a limited description of the statistical analysis, we assumed a Mann-Whitney U-test was used to assess differences between the two arms (as described in the description of Figure 2 in the trial publication). Subsequently, we assumed complete-case analysis was used, as this is the default for the Mann-Whitney U-test in statistical packages. </w:t>
            </w:r>
          </w:p>
        </w:tc>
      </w:tr>
      <w:tr w:rsidR="00C05F19" w14:paraId="591B9A33" w14:textId="77777777" w:rsidTr="00D63909">
        <w:tc>
          <w:tcPr>
            <w:tcW w:w="1246" w:type="dxa"/>
          </w:tcPr>
          <w:p w14:paraId="3553E5B6" w14:textId="5C41A510" w:rsidR="00C05F19" w:rsidRDefault="00F5689C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979" w:type="dxa"/>
          </w:tcPr>
          <w:p w14:paraId="6EA04604" w14:textId="2C29F7D0" w:rsidR="00C05F19" w:rsidRDefault="00F5689C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Mora, 2020, </w:t>
            </w:r>
            <w:r w:rsidRPr="00F5689C">
              <w:rPr>
                <w:rFonts w:ascii="Times New Roman" w:hAnsi="Times New Roman" w:cs="Times New Roman"/>
              </w:rPr>
              <w:t>masitinib</w:t>
            </w:r>
          </w:p>
        </w:tc>
        <w:tc>
          <w:tcPr>
            <w:tcW w:w="8730" w:type="dxa"/>
          </w:tcPr>
          <w:p w14:paraId="15AAEB8F" w14:textId="7D860716" w:rsidR="00C05F19" w:rsidRDefault="00F5689C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was not available in the ceftriaxone dataset. Therefore, this variable was not included in the statistical model.</w:t>
            </w:r>
          </w:p>
        </w:tc>
      </w:tr>
      <w:tr w:rsidR="0055276E" w14:paraId="65955181" w14:textId="77777777" w:rsidTr="00D63909">
        <w:tc>
          <w:tcPr>
            <w:tcW w:w="1246" w:type="dxa"/>
          </w:tcPr>
          <w:p w14:paraId="29C9D92B" w14:textId="7592739D" w:rsidR="0055276E" w:rsidRDefault="00BE3900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979" w:type="dxa"/>
          </w:tcPr>
          <w:p w14:paraId="3F9D03B0" w14:textId="5D57FB38" w:rsidR="0055276E" w:rsidRDefault="00BE3900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Nagata, 2016, </w:t>
            </w:r>
            <w:r w:rsidRPr="00BE3900">
              <w:rPr>
                <w:rFonts w:ascii="Times New Roman" w:hAnsi="Times New Roman" w:cs="Times New Roman"/>
              </w:rPr>
              <w:t>bromocriptine mesylate</w:t>
            </w:r>
          </w:p>
        </w:tc>
        <w:tc>
          <w:tcPr>
            <w:tcW w:w="8730" w:type="dxa"/>
          </w:tcPr>
          <w:p w14:paraId="05A35234" w14:textId="37F23F19" w:rsidR="0055276E" w:rsidRDefault="001705E5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Japanese severity scale was not available in the ceftriaxone dataset. Therefore, this variable was not included in the statistical model.</w:t>
            </w:r>
          </w:p>
        </w:tc>
      </w:tr>
      <w:tr w:rsidR="0055276E" w14:paraId="52B8D875" w14:textId="77777777" w:rsidTr="00D63909">
        <w:tc>
          <w:tcPr>
            <w:tcW w:w="1246" w:type="dxa"/>
          </w:tcPr>
          <w:p w14:paraId="2C64C00B" w14:textId="1D5B8B00" w:rsidR="0055276E" w:rsidRDefault="008A1DBF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979" w:type="dxa"/>
          </w:tcPr>
          <w:p w14:paraId="30283B57" w14:textId="2DD43534" w:rsidR="0055276E" w:rsidRDefault="008A1DBF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Nefussy, 2010, </w:t>
            </w:r>
            <w:r w:rsidRPr="008A1DBF">
              <w:rPr>
                <w:rFonts w:ascii="Times New Roman" w:hAnsi="Times New Roman" w:cs="Times New Roman"/>
              </w:rPr>
              <w:t>G-CSF</w:t>
            </w:r>
          </w:p>
        </w:tc>
        <w:tc>
          <w:tcPr>
            <w:tcW w:w="8730" w:type="dxa"/>
          </w:tcPr>
          <w:p w14:paraId="12794E2D" w14:textId="46F6D967" w:rsidR="0055276E" w:rsidRDefault="008A1DBF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 assumed that a complete case analysis was done. This was not explicitly mentioned, but it is the default when a t-test is done in statistical software.</w:t>
            </w:r>
          </w:p>
        </w:tc>
      </w:tr>
      <w:tr w:rsidR="0055276E" w14:paraId="6CF01AE0" w14:textId="77777777" w:rsidTr="00D63909">
        <w:tc>
          <w:tcPr>
            <w:tcW w:w="1246" w:type="dxa"/>
          </w:tcPr>
          <w:p w14:paraId="1854DE9E" w14:textId="4B075FC5" w:rsidR="0055276E" w:rsidRDefault="001C3672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979" w:type="dxa"/>
          </w:tcPr>
          <w:p w14:paraId="0AED0C46" w14:textId="55D8F35F" w:rsidR="0055276E" w:rsidRDefault="001C3672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Oh, 2018, </w:t>
            </w:r>
            <w:r w:rsidRPr="001C3672">
              <w:rPr>
                <w:rFonts w:ascii="Times New Roman" w:hAnsi="Times New Roman" w:cs="Times New Roman"/>
              </w:rPr>
              <w:t>BM-MSC</w:t>
            </w:r>
          </w:p>
        </w:tc>
        <w:tc>
          <w:tcPr>
            <w:tcW w:w="8730" w:type="dxa"/>
          </w:tcPr>
          <w:p w14:paraId="42FC87BC" w14:textId="1539E0F7" w:rsidR="0055276E" w:rsidRDefault="001C3672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 assumed that a complete case analysis was done. This was not explicitly mentioned, but it is the default when a t-test is done in statistical software.</w:t>
            </w:r>
          </w:p>
        </w:tc>
      </w:tr>
      <w:tr w:rsidR="0055276E" w14:paraId="02C4BF3F" w14:textId="77777777" w:rsidTr="00D63909">
        <w:tc>
          <w:tcPr>
            <w:tcW w:w="1246" w:type="dxa"/>
          </w:tcPr>
          <w:p w14:paraId="5243EC93" w14:textId="54125C0C" w:rsidR="0055276E" w:rsidRDefault="00225A62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979" w:type="dxa"/>
          </w:tcPr>
          <w:p w14:paraId="12D79E25" w14:textId="6610B548" w:rsidR="0055276E" w:rsidRDefault="00225A62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Oki, 2022, </w:t>
            </w:r>
            <w:r w:rsidRPr="00225A62">
              <w:rPr>
                <w:rFonts w:ascii="Times New Roman" w:hAnsi="Times New Roman" w:cs="Times New Roman"/>
              </w:rPr>
              <w:t>methylcobalamin</w:t>
            </w:r>
          </w:p>
        </w:tc>
        <w:tc>
          <w:tcPr>
            <w:tcW w:w="8730" w:type="dxa"/>
          </w:tcPr>
          <w:p w14:paraId="74DAA3A4" w14:textId="0C0318FE" w:rsidR="0055276E" w:rsidRDefault="00225A62" w:rsidP="00BB6E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Japanese severity scale, edaravone use and country were not available in the ceftriaxone dataset. Therefore, </w:t>
            </w:r>
            <w:r w:rsidR="007E2352">
              <w:rPr>
                <w:rFonts w:ascii="Times New Roman" w:hAnsi="Times New Roman" w:cs="Times New Roman"/>
              </w:rPr>
              <w:t>these variables</w:t>
            </w:r>
            <w:r>
              <w:rPr>
                <w:rFonts w:ascii="Times New Roman" w:hAnsi="Times New Roman" w:cs="Times New Roman"/>
              </w:rPr>
              <w:t xml:space="preserve"> w</w:t>
            </w:r>
            <w:r w:rsidR="007E2352">
              <w:rPr>
                <w:rFonts w:ascii="Times New Roman" w:hAnsi="Times New Roman" w:cs="Times New Roman"/>
              </w:rPr>
              <w:t>ere</w:t>
            </w:r>
            <w:r>
              <w:rPr>
                <w:rFonts w:ascii="Times New Roman" w:hAnsi="Times New Roman" w:cs="Times New Roman"/>
              </w:rPr>
              <w:t xml:space="preserve"> not included in the statistical model.</w:t>
            </w:r>
          </w:p>
        </w:tc>
      </w:tr>
      <w:tr w:rsidR="00FA0B5E" w14:paraId="17918DA8" w14:textId="77777777" w:rsidTr="00D63909">
        <w:tc>
          <w:tcPr>
            <w:tcW w:w="1246" w:type="dxa"/>
          </w:tcPr>
          <w:p w14:paraId="50E98052" w14:textId="6F99881B" w:rsidR="00FA0B5E" w:rsidRDefault="00FA0B5E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979" w:type="dxa"/>
          </w:tcPr>
          <w:p w14:paraId="28EC989E" w14:textId="5ED7044F" w:rsidR="00FA0B5E" w:rsidRDefault="00FA0B5E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Shefner, 2016, </w:t>
            </w:r>
            <w:r w:rsidRPr="00FA0B5E">
              <w:rPr>
                <w:rFonts w:ascii="Times New Roman" w:hAnsi="Times New Roman" w:cs="Times New Roman"/>
              </w:rPr>
              <w:t>tirasemtiv</w:t>
            </w:r>
          </w:p>
        </w:tc>
        <w:tc>
          <w:tcPr>
            <w:tcW w:w="8730" w:type="dxa"/>
          </w:tcPr>
          <w:p w14:paraId="17A7B32D" w14:textId="13A2EBCC" w:rsidR="00FA0B5E" w:rsidRDefault="00FA0B5E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was not available in the ceftriaxone dataset. Therefore, this variable was not included in the statistical model.</w:t>
            </w:r>
          </w:p>
        </w:tc>
      </w:tr>
      <w:tr w:rsidR="00FA0B5E" w14:paraId="643EB88A" w14:textId="77777777" w:rsidTr="00D63909">
        <w:tc>
          <w:tcPr>
            <w:tcW w:w="1246" w:type="dxa"/>
          </w:tcPr>
          <w:p w14:paraId="45F4245F" w14:textId="29370D68" w:rsidR="00FA0B5E" w:rsidRDefault="002A2527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79" w:type="dxa"/>
          </w:tcPr>
          <w:p w14:paraId="42242F25" w14:textId="7F279E93" w:rsidR="00FA0B5E" w:rsidRDefault="002A2527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Shibuya, 2015, </w:t>
            </w:r>
            <w:r w:rsidRPr="002A2527">
              <w:rPr>
                <w:rFonts w:ascii="Times New Roman" w:hAnsi="Times New Roman" w:cs="Times New Roman"/>
              </w:rPr>
              <w:t>mexiletine</w:t>
            </w:r>
          </w:p>
        </w:tc>
        <w:tc>
          <w:tcPr>
            <w:tcW w:w="8730" w:type="dxa"/>
          </w:tcPr>
          <w:p w14:paraId="01318818" w14:textId="120887B3" w:rsidR="00FA0B5E" w:rsidRDefault="002A2527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Strength duration time constant was not available in the ceftriaxone dataset. Therefore, this variable was not included in the statistical model.</w:t>
            </w:r>
          </w:p>
        </w:tc>
      </w:tr>
      <w:tr w:rsidR="00FA0B5E" w14:paraId="69CB9E30" w14:textId="77777777" w:rsidTr="00D63909">
        <w:tc>
          <w:tcPr>
            <w:tcW w:w="1246" w:type="dxa"/>
          </w:tcPr>
          <w:p w14:paraId="553A6C56" w14:textId="3B0B272C" w:rsidR="00FA0B5E" w:rsidRDefault="00BC6127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979" w:type="dxa"/>
          </w:tcPr>
          <w:p w14:paraId="3D5AFB41" w14:textId="0C228442" w:rsidR="00FA0B5E" w:rsidRDefault="00BC6127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Vucic, 2021, </w:t>
            </w:r>
            <w:r w:rsidRPr="00BC6127">
              <w:rPr>
                <w:rFonts w:ascii="Times New Roman" w:hAnsi="Times New Roman" w:cs="Times New Roman"/>
              </w:rPr>
              <w:t>dimethyl fumerate</w:t>
            </w:r>
          </w:p>
        </w:tc>
        <w:tc>
          <w:tcPr>
            <w:tcW w:w="8730" w:type="dxa"/>
          </w:tcPr>
          <w:p w14:paraId="6665C88C" w14:textId="6CA4516D" w:rsidR="00FA0B5E" w:rsidRDefault="00BF5958" w:rsidP="00FA0B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Due to a limited description of the statistical analysis in the description of Figure 2 in the trial publication, we assumed that an MMRM was used to assess differences between the two arms.</w:t>
            </w:r>
          </w:p>
        </w:tc>
      </w:tr>
      <w:tr w:rsidR="00A96110" w14:paraId="29592FC7" w14:textId="77777777" w:rsidTr="00D63909">
        <w:tc>
          <w:tcPr>
            <w:tcW w:w="1246" w:type="dxa"/>
          </w:tcPr>
          <w:p w14:paraId="438096E4" w14:textId="644A6882" w:rsidR="00A96110" w:rsidRDefault="00A96110" w:rsidP="00A961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44</w:t>
            </w:r>
          </w:p>
        </w:tc>
        <w:tc>
          <w:tcPr>
            <w:tcW w:w="2979" w:type="dxa"/>
          </w:tcPr>
          <w:p w14:paraId="3729818B" w14:textId="4FAA136C" w:rsidR="00A96110" w:rsidRDefault="00A96110" w:rsidP="00A961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Weemering, 2023, RT001</w:t>
            </w:r>
          </w:p>
        </w:tc>
        <w:tc>
          <w:tcPr>
            <w:tcW w:w="8730" w:type="dxa"/>
          </w:tcPr>
          <w:p w14:paraId="4E5B8DBB" w14:textId="664D66A2" w:rsidR="00A96110" w:rsidRDefault="00A96110" w:rsidP="00A9611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was not available in the ceftriaxone dataset. Therefore, this variable was not included in the statistical model.</w:t>
            </w:r>
          </w:p>
        </w:tc>
      </w:tr>
    </w:tbl>
    <w:p w14:paraId="7C85C772" w14:textId="77777777" w:rsidR="00DA3514" w:rsidRDefault="00DA3514" w:rsidP="00BB6E8D">
      <w:pPr>
        <w:spacing w:line="276" w:lineRule="auto"/>
        <w:rPr>
          <w:rFonts w:ascii="Times New Roman" w:hAnsi="Times New Roman" w:cs="Times New Roman"/>
        </w:rPr>
      </w:pPr>
    </w:p>
    <w:p w14:paraId="10EEAD97" w14:textId="531B3C90" w:rsidR="00A533E0" w:rsidRPr="0054430E" w:rsidRDefault="00A533E0" w:rsidP="00BB6E8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reference </w:t>
      </w:r>
      <w:r w:rsidR="0054430E">
        <w:rPr>
          <w:rFonts w:ascii="Times New Roman" w:hAnsi="Times New Roman" w:cs="Times New Roman"/>
        </w:rPr>
        <w:t xml:space="preserve">number refers to </w:t>
      </w:r>
      <w:r w:rsidR="0054430E">
        <w:rPr>
          <w:rFonts w:ascii="Times New Roman" w:hAnsi="Times New Roman" w:cs="Times New Roman"/>
          <w:b/>
          <w:bCs/>
        </w:rPr>
        <w:t>Supplement 5</w:t>
      </w:r>
      <w:r w:rsidR="0054430E">
        <w:rPr>
          <w:rFonts w:ascii="Times New Roman" w:hAnsi="Times New Roman" w:cs="Times New Roman"/>
        </w:rPr>
        <w:t xml:space="preserve">, which contains the full reference list of trials included in the analysis. </w:t>
      </w:r>
    </w:p>
    <w:sectPr w:rsidR="00A533E0" w:rsidRPr="0054430E" w:rsidSect="00D6390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1F"/>
    <w:rsid w:val="00022B91"/>
    <w:rsid w:val="00083765"/>
    <w:rsid w:val="001705E5"/>
    <w:rsid w:val="001C3672"/>
    <w:rsid w:val="002100C2"/>
    <w:rsid w:val="00225A62"/>
    <w:rsid w:val="002A2527"/>
    <w:rsid w:val="00356F1B"/>
    <w:rsid w:val="00376347"/>
    <w:rsid w:val="00460462"/>
    <w:rsid w:val="004D04EE"/>
    <w:rsid w:val="004E1AF7"/>
    <w:rsid w:val="0050595A"/>
    <w:rsid w:val="0054430E"/>
    <w:rsid w:val="0055276E"/>
    <w:rsid w:val="00564A1F"/>
    <w:rsid w:val="005D7137"/>
    <w:rsid w:val="006429D1"/>
    <w:rsid w:val="006A4F03"/>
    <w:rsid w:val="006B61A7"/>
    <w:rsid w:val="00762D1A"/>
    <w:rsid w:val="007A5B34"/>
    <w:rsid w:val="007E2352"/>
    <w:rsid w:val="00847DF3"/>
    <w:rsid w:val="00867E4A"/>
    <w:rsid w:val="008A1DBF"/>
    <w:rsid w:val="008D225E"/>
    <w:rsid w:val="00923170"/>
    <w:rsid w:val="00995DBB"/>
    <w:rsid w:val="00A533E0"/>
    <w:rsid w:val="00A669A3"/>
    <w:rsid w:val="00A9172B"/>
    <w:rsid w:val="00A945B8"/>
    <w:rsid w:val="00A96110"/>
    <w:rsid w:val="00AB2ED8"/>
    <w:rsid w:val="00AF6A37"/>
    <w:rsid w:val="00B166B2"/>
    <w:rsid w:val="00BB6E8D"/>
    <w:rsid w:val="00BC6127"/>
    <w:rsid w:val="00BC6183"/>
    <w:rsid w:val="00BE3900"/>
    <w:rsid w:val="00BF5958"/>
    <w:rsid w:val="00C05F19"/>
    <w:rsid w:val="00C163A7"/>
    <w:rsid w:val="00C6275B"/>
    <w:rsid w:val="00CA50EC"/>
    <w:rsid w:val="00D47391"/>
    <w:rsid w:val="00D63909"/>
    <w:rsid w:val="00DA3514"/>
    <w:rsid w:val="00DC5554"/>
    <w:rsid w:val="00DE2254"/>
    <w:rsid w:val="00E22E68"/>
    <w:rsid w:val="00E44C38"/>
    <w:rsid w:val="00E608C5"/>
    <w:rsid w:val="00E7677B"/>
    <w:rsid w:val="00E96E87"/>
    <w:rsid w:val="00F5689C"/>
    <w:rsid w:val="00F71074"/>
    <w:rsid w:val="00FA0B5E"/>
    <w:rsid w:val="00FA6633"/>
    <w:rsid w:val="00FD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DCD2C"/>
  <w15:chartTrackingRefBased/>
  <w15:docId w15:val="{0638E3C9-EE9B-ED4D-9E3E-B4861272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61</cp:revision>
  <dcterms:created xsi:type="dcterms:W3CDTF">2025-07-17T09:21:00Z</dcterms:created>
  <dcterms:modified xsi:type="dcterms:W3CDTF">2025-07-17T14:26:00Z</dcterms:modified>
</cp:coreProperties>
</file>