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EA825" w14:textId="2C477CA3" w:rsidR="000F2AC8" w:rsidRPr="00535788" w:rsidRDefault="00535788" w:rsidP="000A105A">
      <w:pPr>
        <w:spacing w:line="276" w:lineRule="auto"/>
        <w:rPr>
          <w:rFonts w:ascii="Times New Roman" w:hAnsi="Times New Roman" w:cs="Times New Roman"/>
          <w:b/>
          <w:bCs/>
        </w:rPr>
      </w:pPr>
      <w:r w:rsidRPr="00535788">
        <w:rPr>
          <w:rFonts w:ascii="Times New Roman" w:hAnsi="Times New Roman" w:cs="Times New Roman"/>
          <w:b/>
          <w:bCs/>
        </w:rPr>
        <w:t>Supplement 6. Modified</w:t>
      </w:r>
      <w:r>
        <w:rPr>
          <w:rFonts w:ascii="Times New Roman" w:hAnsi="Times New Roman" w:cs="Times New Roman"/>
          <w:b/>
          <w:bCs/>
        </w:rPr>
        <w:t>-</w:t>
      </w:r>
      <w:r w:rsidRPr="00535788">
        <w:rPr>
          <w:rFonts w:ascii="Times New Roman" w:hAnsi="Times New Roman" w:cs="Times New Roman"/>
          <w:b/>
          <w:bCs/>
        </w:rPr>
        <w:t>intention-to-t</w:t>
      </w:r>
      <w:r>
        <w:rPr>
          <w:rFonts w:ascii="Times New Roman" w:hAnsi="Times New Roman" w:cs="Times New Roman"/>
          <w:b/>
          <w:bCs/>
        </w:rPr>
        <w:t>reat (mITT) definitions across the reviewed trials.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4410"/>
        <w:gridCol w:w="7110"/>
      </w:tblGrid>
      <w:tr w:rsidR="00535788" w:rsidRPr="000A105A" w14:paraId="7375E521" w14:textId="77777777" w:rsidTr="005267C3">
        <w:trPr>
          <w:trHeight w:val="320"/>
        </w:trPr>
        <w:tc>
          <w:tcPr>
            <w:tcW w:w="1345" w:type="dxa"/>
          </w:tcPr>
          <w:p w14:paraId="332CE830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0A105A">
              <w:rPr>
                <w:rFonts w:ascii="Times New Roman" w:hAnsi="Times New Roman" w:cs="Times New Roman"/>
                <w:b/>
                <w:bCs/>
              </w:rPr>
              <w:t>Reference number</w:t>
            </w:r>
          </w:p>
        </w:tc>
        <w:tc>
          <w:tcPr>
            <w:tcW w:w="4410" w:type="dxa"/>
            <w:noWrap/>
            <w:hideMark/>
          </w:tcPr>
          <w:p w14:paraId="5CD447F6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First author, publication year, treatment</w:t>
            </w:r>
          </w:p>
        </w:tc>
        <w:tc>
          <w:tcPr>
            <w:tcW w:w="7110" w:type="dxa"/>
            <w:noWrap/>
            <w:hideMark/>
          </w:tcPr>
          <w:p w14:paraId="56D98FFE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0A105A">
              <w:rPr>
                <w:rFonts w:ascii="Times New Roman" w:hAnsi="Times New Roman" w:cs="Times New Roman"/>
                <w:b/>
                <w:bCs/>
              </w:rPr>
              <w:t xml:space="preserve">mITT </w:t>
            </w:r>
            <w:r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</w:tr>
      <w:tr w:rsidR="00535788" w:rsidRPr="000A105A" w14:paraId="6D24ECBF" w14:textId="77777777" w:rsidTr="005267C3">
        <w:trPr>
          <w:trHeight w:val="320"/>
        </w:trPr>
        <w:tc>
          <w:tcPr>
            <w:tcW w:w="1345" w:type="dxa"/>
          </w:tcPr>
          <w:p w14:paraId="0CE4055F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410" w:type="dxa"/>
            <w:noWrap/>
            <w:hideMark/>
          </w:tcPr>
          <w:p w14:paraId="22AED405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Aggarwal, 2010, lithium</w:t>
            </w:r>
          </w:p>
        </w:tc>
        <w:tc>
          <w:tcPr>
            <w:tcW w:w="7110" w:type="dxa"/>
            <w:noWrap/>
            <w:hideMark/>
          </w:tcPr>
          <w:p w14:paraId="28089ABC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All patients who were randomized and received at least one dose of treatment</w:t>
            </w:r>
          </w:p>
        </w:tc>
      </w:tr>
      <w:tr w:rsidR="00535788" w:rsidRPr="000A105A" w14:paraId="09B91830" w14:textId="77777777" w:rsidTr="005267C3">
        <w:trPr>
          <w:trHeight w:val="320"/>
        </w:trPr>
        <w:tc>
          <w:tcPr>
            <w:tcW w:w="1345" w:type="dxa"/>
          </w:tcPr>
          <w:p w14:paraId="3C9B3C0B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410" w:type="dxa"/>
            <w:noWrap/>
            <w:hideMark/>
          </w:tcPr>
          <w:p w14:paraId="2A5B57FA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Aizawa, 2022, perampanel</w:t>
            </w:r>
          </w:p>
        </w:tc>
        <w:tc>
          <w:tcPr>
            <w:tcW w:w="7110" w:type="dxa"/>
            <w:noWrap/>
            <w:hideMark/>
          </w:tcPr>
          <w:p w14:paraId="0D4ACD77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All patients who were randomized and received at least one dose of treatment</w:t>
            </w:r>
          </w:p>
        </w:tc>
      </w:tr>
      <w:tr w:rsidR="00535788" w:rsidRPr="000A105A" w14:paraId="4DAAE92A" w14:textId="77777777" w:rsidTr="005267C3">
        <w:trPr>
          <w:trHeight w:val="320"/>
        </w:trPr>
        <w:tc>
          <w:tcPr>
            <w:tcW w:w="1345" w:type="dxa"/>
          </w:tcPr>
          <w:p w14:paraId="1CE1A7A1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410" w:type="dxa"/>
            <w:noWrap/>
            <w:hideMark/>
          </w:tcPr>
          <w:p w14:paraId="17E89C30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Amirzagar, 2015, G-CSF</w:t>
            </w:r>
          </w:p>
        </w:tc>
        <w:tc>
          <w:tcPr>
            <w:tcW w:w="7110" w:type="dxa"/>
            <w:noWrap/>
            <w:hideMark/>
          </w:tcPr>
          <w:p w14:paraId="51BCA8F7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All patients who were randomized and received at least one dose of treatment</w:t>
            </w:r>
          </w:p>
        </w:tc>
      </w:tr>
      <w:tr w:rsidR="00535788" w:rsidRPr="000A105A" w14:paraId="349FDA9B" w14:textId="77777777" w:rsidTr="005267C3">
        <w:trPr>
          <w:trHeight w:val="320"/>
        </w:trPr>
        <w:tc>
          <w:tcPr>
            <w:tcW w:w="1345" w:type="dxa"/>
          </w:tcPr>
          <w:p w14:paraId="30BFDD81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410" w:type="dxa"/>
            <w:noWrap/>
            <w:hideMark/>
          </w:tcPr>
          <w:p w14:paraId="4BA17142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Berry, 2019, MSC-NTF</w:t>
            </w:r>
          </w:p>
        </w:tc>
        <w:tc>
          <w:tcPr>
            <w:tcW w:w="7110" w:type="dxa"/>
            <w:noWrap/>
            <w:hideMark/>
          </w:tcPr>
          <w:p w14:paraId="0B82D130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All patients who were randomized and received at least one dose of treatment</w:t>
            </w:r>
          </w:p>
        </w:tc>
      </w:tr>
      <w:tr w:rsidR="00535788" w:rsidRPr="000A105A" w14:paraId="07684B6A" w14:textId="77777777" w:rsidTr="005267C3">
        <w:trPr>
          <w:trHeight w:val="320"/>
        </w:trPr>
        <w:tc>
          <w:tcPr>
            <w:tcW w:w="1345" w:type="dxa"/>
          </w:tcPr>
          <w:p w14:paraId="739240AD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410" w:type="dxa"/>
            <w:noWrap/>
            <w:hideMark/>
          </w:tcPr>
          <w:p w14:paraId="4CC81AEB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Genge, 2023, ravulizumab</w:t>
            </w:r>
          </w:p>
        </w:tc>
        <w:tc>
          <w:tcPr>
            <w:tcW w:w="7110" w:type="dxa"/>
            <w:noWrap/>
            <w:hideMark/>
          </w:tcPr>
          <w:p w14:paraId="33BD7CC4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All patients who were randomized and received at least one dose of treatment</w:t>
            </w:r>
          </w:p>
        </w:tc>
      </w:tr>
      <w:tr w:rsidR="00535788" w:rsidRPr="000A105A" w14:paraId="02839C1F" w14:textId="77777777" w:rsidTr="005267C3">
        <w:trPr>
          <w:trHeight w:val="340"/>
        </w:trPr>
        <w:tc>
          <w:tcPr>
            <w:tcW w:w="1345" w:type="dxa"/>
          </w:tcPr>
          <w:p w14:paraId="4721DDAD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4410" w:type="dxa"/>
            <w:noWrap/>
            <w:hideMark/>
          </w:tcPr>
          <w:p w14:paraId="79420A37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Meininger, 2009, glatiramer</w:t>
            </w:r>
          </w:p>
        </w:tc>
        <w:tc>
          <w:tcPr>
            <w:tcW w:w="7110" w:type="dxa"/>
            <w:hideMark/>
          </w:tcPr>
          <w:p w14:paraId="758ECE0C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All patients who were randomized and received at least one dose of treatment</w:t>
            </w:r>
          </w:p>
        </w:tc>
      </w:tr>
      <w:tr w:rsidR="00535788" w:rsidRPr="000A105A" w14:paraId="0AEA6508" w14:textId="77777777" w:rsidTr="005267C3">
        <w:trPr>
          <w:trHeight w:val="340"/>
        </w:trPr>
        <w:tc>
          <w:tcPr>
            <w:tcW w:w="1345" w:type="dxa"/>
          </w:tcPr>
          <w:p w14:paraId="0E090B2F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4410" w:type="dxa"/>
            <w:noWrap/>
            <w:hideMark/>
          </w:tcPr>
          <w:p w14:paraId="0BFECD37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Meininger, 2017, ozanezumab</w:t>
            </w:r>
          </w:p>
        </w:tc>
        <w:tc>
          <w:tcPr>
            <w:tcW w:w="7110" w:type="dxa"/>
            <w:hideMark/>
          </w:tcPr>
          <w:p w14:paraId="491377DE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All patients who were randomized and received at least one dose of treatment</w:t>
            </w:r>
          </w:p>
        </w:tc>
      </w:tr>
      <w:tr w:rsidR="00535788" w:rsidRPr="000A105A" w14:paraId="768A3792" w14:textId="77777777" w:rsidTr="005267C3">
        <w:trPr>
          <w:trHeight w:val="340"/>
        </w:trPr>
        <w:tc>
          <w:tcPr>
            <w:tcW w:w="1345" w:type="dxa"/>
          </w:tcPr>
          <w:p w14:paraId="5D328E2A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4410" w:type="dxa"/>
            <w:noWrap/>
            <w:hideMark/>
          </w:tcPr>
          <w:p w14:paraId="7784CC2D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Miller, 2015, NP001</w:t>
            </w:r>
          </w:p>
        </w:tc>
        <w:tc>
          <w:tcPr>
            <w:tcW w:w="7110" w:type="dxa"/>
            <w:hideMark/>
          </w:tcPr>
          <w:p w14:paraId="3C99E245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All patients who were randomized and received at least one dose of treatment</w:t>
            </w:r>
          </w:p>
        </w:tc>
      </w:tr>
      <w:tr w:rsidR="00535788" w:rsidRPr="000A105A" w14:paraId="6E45C0E7" w14:textId="77777777" w:rsidTr="005267C3">
        <w:trPr>
          <w:trHeight w:val="340"/>
        </w:trPr>
        <w:tc>
          <w:tcPr>
            <w:tcW w:w="1345" w:type="dxa"/>
          </w:tcPr>
          <w:p w14:paraId="2F82D952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4410" w:type="dxa"/>
            <w:noWrap/>
            <w:hideMark/>
          </w:tcPr>
          <w:p w14:paraId="49D7ED3D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Oki, 2022, methylcobalamin</w:t>
            </w:r>
          </w:p>
        </w:tc>
        <w:tc>
          <w:tcPr>
            <w:tcW w:w="7110" w:type="dxa"/>
            <w:hideMark/>
          </w:tcPr>
          <w:p w14:paraId="7BB51DD0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All patients who were randomized and received at least one dose of treatment</w:t>
            </w:r>
          </w:p>
        </w:tc>
      </w:tr>
      <w:tr w:rsidR="00535788" w:rsidRPr="000A105A" w14:paraId="30D2C296" w14:textId="77777777" w:rsidTr="005267C3">
        <w:trPr>
          <w:trHeight w:val="340"/>
        </w:trPr>
        <w:tc>
          <w:tcPr>
            <w:tcW w:w="1345" w:type="dxa"/>
          </w:tcPr>
          <w:p w14:paraId="05064001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4410" w:type="dxa"/>
            <w:noWrap/>
            <w:hideMark/>
          </w:tcPr>
          <w:p w14:paraId="5BD210FF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Scelsa, 2005, indinavir</w:t>
            </w:r>
          </w:p>
        </w:tc>
        <w:tc>
          <w:tcPr>
            <w:tcW w:w="7110" w:type="dxa"/>
            <w:hideMark/>
          </w:tcPr>
          <w:p w14:paraId="24E2EE0A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All patients who were randomized and received at least one dose of treatment</w:t>
            </w:r>
          </w:p>
        </w:tc>
      </w:tr>
      <w:tr w:rsidR="00535788" w:rsidRPr="000A105A" w14:paraId="5D78AC04" w14:textId="77777777" w:rsidTr="005267C3">
        <w:trPr>
          <w:trHeight w:val="340"/>
        </w:trPr>
        <w:tc>
          <w:tcPr>
            <w:tcW w:w="1345" w:type="dxa"/>
          </w:tcPr>
          <w:p w14:paraId="207FBCE0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4410" w:type="dxa"/>
            <w:noWrap/>
            <w:hideMark/>
          </w:tcPr>
          <w:p w14:paraId="5F7DA2AF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Walk, 2023, inosine</w:t>
            </w:r>
          </w:p>
        </w:tc>
        <w:tc>
          <w:tcPr>
            <w:tcW w:w="7110" w:type="dxa"/>
            <w:hideMark/>
          </w:tcPr>
          <w:p w14:paraId="71D6EE16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All patients who were randomized and received at least one dose of treatment</w:t>
            </w:r>
          </w:p>
        </w:tc>
      </w:tr>
      <w:tr w:rsidR="00535788" w:rsidRPr="000A105A" w14:paraId="6EA0427F" w14:textId="77777777" w:rsidTr="005267C3">
        <w:trPr>
          <w:trHeight w:val="340"/>
        </w:trPr>
        <w:tc>
          <w:tcPr>
            <w:tcW w:w="1345" w:type="dxa"/>
          </w:tcPr>
          <w:p w14:paraId="796BF030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4410" w:type="dxa"/>
            <w:noWrap/>
            <w:hideMark/>
          </w:tcPr>
          <w:p w14:paraId="3CEA605E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Weiss, 2016, mexiletine</w:t>
            </w:r>
          </w:p>
        </w:tc>
        <w:tc>
          <w:tcPr>
            <w:tcW w:w="7110" w:type="dxa"/>
            <w:hideMark/>
          </w:tcPr>
          <w:p w14:paraId="067FC474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All patients who were randomized and received at least one dose of treatment</w:t>
            </w:r>
          </w:p>
        </w:tc>
      </w:tr>
      <w:tr w:rsidR="00535788" w:rsidRPr="000A105A" w14:paraId="3A257887" w14:textId="77777777" w:rsidTr="005267C3">
        <w:trPr>
          <w:trHeight w:val="320"/>
        </w:trPr>
        <w:tc>
          <w:tcPr>
            <w:tcW w:w="1345" w:type="dxa"/>
          </w:tcPr>
          <w:p w14:paraId="1523F05C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11</w:t>
            </w:r>
          </w:p>
        </w:tc>
        <w:tc>
          <w:tcPr>
            <w:tcW w:w="4410" w:type="dxa"/>
            <w:noWrap/>
            <w:hideMark/>
          </w:tcPr>
          <w:p w14:paraId="1EC8B465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Cudkowicz, 2014, ceftriaxone</w:t>
            </w:r>
          </w:p>
        </w:tc>
        <w:tc>
          <w:tcPr>
            <w:tcW w:w="7110" w:type="dxa"/>
            <w:noWrap/>
            <w:hideMark/>
          </w:tcPr>
          <w:p w14:paraId="14BD384C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All patients who were randomized and who fullfill the eligibility criteria</w:t>
            </w:r>
          </w:p>
        </w:tc>
      </w:tr>
      <w:tr w:rsidR="00535788" w:rsidRPr="000A105A" w14:paraId="697FDA26" w14:textId="77777777" w:rsidTr="005267C3">
        <w:trPr>
          <w:trHeight w:val="320"/>
        </w:trPr>
        <w:tc>
          <w:tcPr>
            <w:tcW w:w="1345" w:type="dxa"/>
          </w:tcPr>
          <w:p w14:paraId="4A8DA05E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410" w:type="dxa"/>
            <w:noWrap/>
            <w:hideMark/>
          </w:tcPr>
          <w:p w14:paraId="364E215F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Cudkowicz, 2011, dexpramipexole</w:t>
            </w:r>
          </w:p>
        </w:tc>
        <w:tc>
          <w:tcPr>
            <w:tcW w:w="7110" w:type="dxa"/>
            <w:noWrap/>
            <w:hideMark/>
          </w:tcPr>
          <w:p w14:paraId="6E631093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All patients who were randomized and who had one post-baseline clinical evaluation</w:t>
            </w:r>
          </w:p>
        </w:tc>
      </w:tr>
      <w:tr w:rsidR="00535788" w:rsidRPr="000A105A" w14:paraId="5EFB9BFD" w14:textId="77777777" w:rsidTr="005267C3">
        <w:trPr>
          <w:trHeight w:val="680"/>
        </w:trPr>
        <w:tc>
          <w:tcPr>
            <w:tcW w:w="1345" w:type="dxa"/>
          </w:tcPr>
          <w:p w14:paraId="68E0E2A8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4410" w:type="dxa"/>
            <w:noWrap/>
            <w:hideMark/>
          </w:tcPr>
          <w:p w14:paraId="166434BB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Kim, 2023, mecasin</w:t>
            </w:r>
          </w:p>
        </w:tc>
        <w:tc>
          <w:tcPr>
            <w:tcW w:w="7110" w:type="dxa"/>
            <w:hideMark/>
          </w:tcPr>
          <w:p w14:paraId="1D479A6A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All patients who were randomized and who received at least more than one treatment</w:t>
            </w:r>
          </w:p>
        </w:tc>
      </w:tr>
      <w:tr w:rsidR="00535788" w:rsidRPr="000A105A" w14:paraId="66A556F4" w14:textId="77777777" w:rsidTr="005267C3">
        <w:trPr>
          <w:trHeight w:val="320"/>
        </w:trPr>
        <w:tc>
          <w:tcPr>
            <w:tcW w:w="1345" w:type="dxa"/>
          </w:tcPr>
          <w:p w14:paraId="759C1DB0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4410" w:type="dxa"/>
            <w:noWrap/>
            <w:hideMark/>
          </w:tcPr>
          <w:p w14:paraId="012BCE8B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Gordon, 2007, minocycline</w:t>
            </w:r>
          </w:p>
        </w:tc>
        <w:tc>
          <w:tcPr>
            <w:tcW w:w="7110" w:type="dxa"/>
            <w:noWrap/>
            <w:hideMark/>
          </w:tcPr>
          <w:p w14:paraId="089F69AA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All patients who were randomized and who received the study drug</w:t>
            </w:r>
          </w:p>
        </w:tc>
      </w:tr>
      <w:tr w:rsidR="00535788" w:rsidRPr="000A105A" w14:paraId="09DCE201" w14:textId="77777777" w:rsidTr="005267C3">
        <w:trPr>
          <w:trHeight w:val="680"/>
        </w:trPr>
        <w:tc>
          <w:tcPr>
            <w:tcW w:w="1345" w:type="dxa"/>
          </w:tcPr>
          <w:p w14:paraId="7005BCD2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4410" w:type="dxa"/>
            <w:noWrap/>
            <w:hideMark/>
          </w:tcPr>
          <w:p w14:paraId="2729B548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Oh, 2018, BM-MSC</w:t>
            </w:r>
          </w:p>
        </w:tc>
        <w:tc>
          <w:tcPr>
            <w:tcW w:w="7110" w:type="dxa"/>
            <w:hideMark/>
          </w:tcPr>
          <w:p w14:paraId="061C61B4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All patients who were randomized, had at least a baseline assessment, and a post-baseline assessment available</w:t>
            </w:r>
          </w:p>
        </w:tc>
      </w:tr>
      <w:tr w:rsidR="00535788" w:rsidRPr="000A105A" w14:paraId="528F3932" w14:textId="77777777" w:rsidTr="005267C3">
        <w:trPr>
          <w:trHeight w:val="680"/>
        </w:trPr>
        <w:tc>
          <w:tcPr>
            <w:tcW w:w="1345" w:type="dxa"/>
          </w:tcPr>
          <w:p w14:paraId="79D6E8E5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410" w:type="dxa"/>
            <w:noWrap/>
            <w:hideMark/>
          </w:tcPr>
          <w:p w14:paraId="44B1A3A9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Juntas-Morales, 2020, MD1003</w:t>
            </w:r>
          </w:p>
        </w:tc>
        <w:tc>
          <w:tcPr>
            <w:tcW w:w="7110" w:type="dxa"/>
            <w:hideMark/>
          </w:tcPr>
          <w:p w14:paraId="6DE057A5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All patients who were randomized, received at least one dose of treatment, and having at least one assessment at baseline/screening</w:t>
            </w:r>
          </w:p>
        </w:tc>
      </w:tr>
      <w:tr w:rsidR="00535788" w:rsidRPr="000A105A" w14:paraId="3960E845" w14:textId="77777777" w:rsidTr="005267C3">
        <w:trPr>
          <w:trHeight w:val="680"/>
        </w:trPr>
        <w:tc>
          <w:tcPr>
            <w:tcW w:w="1345" w:type="dxa"/>
          </w:tcPr>
          <w:p w14:paraId="5B920E5A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4410" w:type="dxa"/>
            <w:noWrap/>
            <w:hideMark/>
          </w:tcPr>
          <w:p w14:paraId="0D3D6EB6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Elia, 2015, tauroursodeoxycholic acid</w:t>
            </w:r>
          </w:p>
        </w:tc>
        <w:tc>
          <w:tcPr>
            <w:tcW w:w="7110" w:type="dxa"/>
            <w:hideMark/>
          </w:tcPr>
          <w:p w14:paraId="08CCF1B2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All patients who were randomized, received at least one dose of treatment, and having at least one primary efficacy assessment</w:t>
            </w:r>
          </w:p>
        </w:tc>
      </w:tr>
      <w:tr w:rsidR="00535788" w:rsidRPr="000A105A" w14:paraId="5F88B61A" w14:textId="77777777" w:rsidTr="005267C3">
        <w:trPr>
          <w:trHeight w:val="680"/>
        </w:trPr>
        <w:tc>
          <w:tcPr>
            <w:tcW w:w="1345" w:type="dxa"/>
          </w:tcPr>
          <w:p w14:paraId="55BB7828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4410" w:type="dxa"/>
            <w:noWrap/>
            <w:hideMark/>
          </w:tcPr>
          <w:p w14:paraId="13FD6F40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Kaji, 2019, methylcobalamin</w:t>
            </w:r>
          </w:p>
        </w:tc>
        <w:tc>
          <w:tcPr>
            <w:tcW w:w="7110" w:type="dxa"/>
            <w:hideMark/>
          </w:tcPr>
          <w:p w14:paraId="7CA1A01F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All patients who were randomized, received at least one dose of treatment, and having at least one primary efficacy assessment</w:t>
            </w:r>
          </w:p>
        </w:tc>
      </w:tr>
      <w:tr w:rsidR="00535788" w:rsidRPr="000A105A" w14:paraId="6A03EF34" w14:textId="77777777" w:rsidTr="005267C3">
        <w:trPr>
          <w:trHeight w:val="680"/>
        </w:trPr>
        <w:tc>
          <w:tcPr>
            <w:tcW w:w="1345" w:type="dxa"/>
          </w:tcPr>
          <w:p w14:paraId="1ABEF26B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4410" w:type="dxa"/>
            <w:noWrap/>
            <w:hideMark/>
          </w:tcPr>
          <w:p w14:paraId="2A66A6B9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Miller, 2007, TCH346</w:t>
            </w:r>
          </w:p>
        </w:tc>
        <w:tc>
          <w:tcPr>
            <w:tcW w:w="7110" w:type="dxa"/>
            <w:hideMark/>
          </w:tcPr>
          <w:p w14:paraId="3F16D55C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All patients who were randomized, received at least one dose of treatment, and having at least one primary efficacy assessment</w:t>
            </w:r>
          </w:p>
        </w:tc>
      </w:tr>
      <w:tr w:rsidR="00535788" w:rsidRPr="000A105A" w14:paraId="76A657C8" w14:textId="77777777" w:rsidTr="005267C3">
        <w:trPr>
          <w:trHeight w:val="680"/>
        </w:trPr>
        <w:tc>
          <w:tcPr>
            <w:tcW w:w="1345" w:type="dxa"/>
          </w:tcPr>
          <w:p w14:paraId="33FC945A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4410" w:type="dxa"/>
            <w:noWrap/>
            <w:hideMark/>
          </w:tcPr>
          <w:p w14:paraId="7BD42133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Miller, 2022, NP001</w:t>
            </w:r>
          </w:p>
        </w:tc>
        <w:tc>
          <w:tcPr>
            <w:tcW w:w="7110" w:type="dxa"/>
            <w:hideMark/>
          </w:tcPr>
          <w:p w14:paraId="140A9FEF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All patients who were randomized, received at least one dose of treatment, and having at least one primary efficacy assessment</w:t>
            </w:r>
          </w:p>
        </w:tc>
      </w:tr>
      <w:tr w:rsidR="00535788" w:rsidRPr="000A105A" w14:paraId="5F1D94BD" w14:textId="77777777" w:rsidTr="005267C3">
        <w:trPr>
          <w:trHeight w:val="680"/>
        </w:trPr>
        <w:tc>
          <w:tcPr>
            <w:tcW w:w="1345" w:type="dxa"/>
          </w:tcPr>
          <w:p w14:paraId="66828A31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4410" w:type="dxa"/>
            <w:noWrap/>
            <w:hideMark/>
          </w:tcPr>
          <w:p w14:paraId="38FC6147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Mora, 2020, masitinib</w:t>
            </w:r>
          </w:p>
        </w:tc>
        <w:tc>
          <w:tcPr>
            <w:tcW w:w="7110" w:type="dxa"/>
            <w:hideMark/>
          </w:tcPr>
          <w:p w14:paraId="452CB4B6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All patients who were randomized, received at least one dose of treatment, and having at least one primary efficacy assessment</w:t>
            </w:r>
          </w:p>
        </w:tc>
      </w:tr>
      <w:tr w:rsidR="00535788" w:rsidRPr="000A105A" w14:paraId="65610F5F" w14:textId="77777777" w:rsidTr="005267C3">
        <w:trPr>
          <w:trHeight w:val="680"/>
        </w:trPr>
        <w:tc>
          <w:tcPr>
            <w:tcW w:w="1345" w:type="dxa"/>
          </w:tcPr>
          <w:p w14:paraId="0CE002B6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4410" w:type="dxa"/>
            <w:noWrap/>
            <w:hideMark/>
          </w:tcPr>
          <w:p w14:paraId="08D4B0C0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Paganoni, 2020, sodium phenylbutyrate-taurursodiol</w:t>
            </w:r>
          </w:p>
        </w:tc>
        <w:tc>
          <w:tcPr>
            <w:tcW w:w="7110" w:type="dxa"/>
            <w:hideMark/>
          </w:tcPr>
          <w:p w14:paraId="628D64CE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All patients who were randomized, received at least one dose of treatment, and having at least one primary efficacy assessment</w:t>
            </w:r>
          </w:p>
        </w:tc>
      </w:tr>
      <w:tr w:rsidR="00535788" w:rsidRPr="000A105A" w14:paraId="03678C39" w14:textId="77777777" w:rsidTr="005267C3">
        <w:trPr>
          <w:trHeight w:val="680"/>
        </w:trPr>
        <w:tc>
          <w:tcPr>
            <w:tcW w:w="1345" w:type="dxa"/>
          </w:tcPr>
          <w:p w14:paraId="579795DD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4410" w:type="dxa"/>
            <w:noWrap/>
            <w:hideMark/>
          </w:tcPr>
          <w:p w14:paraId="6D5D1DC4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Shefner, 2016, tirasemtiv</w:t>
            </w:r>
          </w:p>
        </w:tc>
        <w:tc>
          <w:tcPr>
            <w:tcW w:w="7110" w:type="dxa"/>
            <w:hideMark/>
          </w:tcPr>
          <w:p w14:paraId="284BEA48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All patients who were randomized, received at least one dose of treatment, and having at least one primary efficacy assessment</w:t>
            </w:r>
          </w:p>
        </w:tc>
      </w:tr>
      <w:tr w:rsidR="00535788" w:rsidRPr="000A105A" w14:paraId="5AFB05F2" w14:textId="77777777" w:rsidTr="005267C3">
        <w:trPr>
          <w:trHeight w:val="680"/>
        </w:trPr>
        <w:tc>
          <w:tcPr>
            <w:tcW w:w="1345" w:type="dxa"/>
          </w:tcPr>
          <w:p w14:paraId="367B25CC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4410" w:type="dxa"/>
            <w:noWrap/>
            <w:hideMark/>
          </w:tcPr>
          <w:p w14:paraId="2D65DAB4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Weemering, 2023, RT001</w:t>
            </w:r>
          </w:p>
        </w:tc>
        <w:tc>
          <w:tcPr>
            <w:tcW w:w="7110" w:type="dxa"/>
            <w:hideMark/>
          </w:tcPr>
          <w:p w14:paraId="3783EBD4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All patients who were randomized, received at least one dose of treatment, and having at least one primary efficacy assessment</w:t>
            </w:r>
          </w:p>
        </w:tc>
      </w:tr>
      <w:tr w:rsidR="00535788" w:rsidRPr="000A105A" w14:paraId="601E6736" w14:textId="77777777" w:rsidTr="005267C3">
        <w:trPr>
          <w:trHeight w:val="680"/>
        </w:trPr>
        <w:tc>
          <w:tcPr>
            <w:tcW w:w="1345" w:type="dxa"/>
          </w:tcPr>
          <w:p w14:paraId="6B1FFE43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4410" w:type="dxa"/>
            <w:noWrap/>
            <w:hideMark/>
          </w:tcPr>
          <w:p w14:paraId="456A3904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Cudkowicz, 2022, MSC-NTF</w:t>
            </w:r>
          </w:p>
        </w:tc>
        <w:tc>
          <w:tcPr>
            <w:tcW w:w="7110" w:type="dxa"/>
            <w:hideMark/>
          </w:tcPr>
          <w:p w14:paraId="171A1EDB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All patients who were randomized, received at least one dose of treatment, had at least one pre-treatment, baseline, and post-treatment ALSFRS-R assessment</w:t>
            </w:r>
          </w:p>
        </w:tc>
      </w:tr>
      <w:tr w:rsidR="00535788" w:rsidRPr="000A105A" w14:paraId="41CF683A" w14:textId="77777777" w:rsidTr="005267C3">
        <w:trPr>
          <w:trHeight w:val="1020"/>
        </w:trPr>
        <w:tc>
          <w:tcPr>
            <w:tcW w:w="1345" w:type="dxa"/>
          </w:tcPr>
          <w:p w14:paraId="096A708A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4410" w:type="dxa"/>
            <w:noWrap/>
            <w:hideMark/>
          </w:tcPr>
          <w:p w14:paraId="536C2384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Morimoto, 2023, ropinirole</w:t>
            </w:r>
          </w:p>
        </w:tc>
        <w:tc>
          <w:tcPr>
            <w:tcW w:w="7110" w:type="dxa"/>
            <w:hideMark/>
          </w:tcPr>
          <w:p w14:paraId="769B606F" w14:textId="77777777" w:rsidR="00535788" w:rsidRPr="000A105A" w:rsidRDefault="00535788" w:rsidP="005267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A105A">
              <w:rPr>
                <w:rFonts w:ascii="Times New Roman" w:hAnsi="Times New Roman" w:cs="Times New Roman"/>
              </w:rPr>
              <w:t>All patients who were randomized, who fullfill the eligibility criteria, who received at least one dose of treatment, who have a least one primary efficacy assessment, who did not withdrew consent, and who did not refuse the use of their data</w:t>
            </w:r>
          </w:p>
        </w:tc>
      </w:tr>
    </w:tbl>
    <w:p w14:paraId="4CDE541C" w14:textId="77777777" w:rsidR="00535788" w:rsidRDefault="00535788" w:rsidP="00535788">
      <w:pPr>
        <w:spacing w:line="276" w:lineRule="auto"/>
        <w:rPr>
          <w:rFonts w:ascii="Times New Roman" w:hAnsi="Times New Roman" w:cs="Times New Roman"/>
        </w:rPr>
      </w:pPr>
    </w:p>
    <w:p w14:paraId="084D8440" w14:textId="77777777" w:rsidR="00535788" w:rsidRPr="0054430E" w:rsidRDefault="00535788" w:rsidP="0053578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reference number refers to </w:t>
      </w:r>
      <w:r>
        <w:rPr>
          <w:rFonts w:ascii="Times New Roman" w:hAnsi="Times New Roman" w:cs="Times New Roman"/>
          <w:b/>
          <w:bCs/>
        </w:rPr>
        <w:t>Supplement 5</w:t>
      </w:r>
      <w:r>
        <w:rPr>
          <w:rFonts w:ascii="Times New Roman" w:hAnsi="Times New Roman" w:cs="Times New Roman"/>
        </w:rPr>
        <w:t xml:space="preserve">, which contains the full reference list of trials included in the analysis. </w:t>
      </w:r>
    </w:p>
    <w:p w14:paraId="23BC0F1D" w14:textId="77777777" w:rsidR="00535788" w:rsidRPr="00535788" w:rsidRDefault="00535788" w:rsidP="000A105A">
      <w:pPr>
        <w:spacing w:line="276" w:lineRule="auto"/>
        <w:rPr>
          <w:rFonts w:ascii="Times New Roman" w:hAnsi="Times New Roman" w:cs="Times New Roman"/>
        </w:rPr>
      </w:pPr>
    </w:p>
    <w:sectPr w:rsidR="00535788" w:rsidRPr="00535788" w:rsidSect="00B707E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7E3"/>
    <w:rsid w:val="000A105A"/>
    <w:rsid w:val="000E7A83"/>
    <w:rsid w:val="000F2AC8"/>
    <w:rsid w:val="002100C2"/>
    <w:rsid w:val="002C581E"/>
    <w:rsid w:val="00535788"/>
    <w:rsid w:val="00867E4A"/>
    <w:rsid w:val="009B37BC"/>
    <w:rsid w:val="00B166B2"/>
    <w:rsid w:val="00B707E3"/>
    <w:rsid w:val="00C6275B"/>
    <w:rsid w:val="00CA50EC"/>
    <w:rsid w:val="00E44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FFD83A"/>
  <w15:chartTrackingRefBased/>
  <w15:docId w15:val="{2E95734F-D264-BC42-8C03-6F01BF673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7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0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597</Words>
  <Characters>3408</Characters>
  <Application>Microsoft Office Word</Application>
  <DocSecurity>0</DocSecurity>
  <Lines>28</Lines>
  <Paragraphs>7</Paragraphs>
  <ScaleCrop>false</ScaleCrop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Weemering, D.N. (Daphne)</dc:creator>
  <cp:keywords/>
  <dc:description/>
  <cp:lastModifiedBy>Weemering, D.N. (Daphne)</cp:lastModifiedBy>
  <cp:revision>7</cp:revision>
  <dcterms:created xsi:type="dcterms:W3CDTF">2025-07-17T14:18:00Z</dcterms:created>
  <dcterms:modified xsi:type="dcterms:W3CDTF">2025-07-17T14:27:00Z</dcterms:modified>
</cp:coreProperties>
</file>