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0C7FC" w14:textId="5ABDB056" w:rsidR="00ED555F" w:rsidRDefault="00ED555F" w:rsidP="000C77F0">
      <w:pPr>
        <w:spacing w:line="276" w:lineRule="auto"/>
        <w:rPr>
          <w:rFonts w:ascii="Times New Roman" w:hAnsi="Times New Roman" w:cs="Times New Roman"/>
          <w:b/>
          <w:bCs/>
        </w:rPr>
      </w:pPr>
      <w:r w:rsidRPr="00CF06B0">
        <w:rPr>
          <w:rFonts w:ascii="Times New Roman" w:hAnsi="Times New Roman" w:cs="Times New Roman"/>
          <w:b/>
          <w:bCs/>
        </w:rPr>
        <w:t xml:space="preserve">Supplement </w:t>
      </w:r>
      <w:r w:rsidR="00AA7913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>.</w:t>
      </w:r>
      <w:r w:rsidRPr="00CF06B0">
        <w:rPr>
          <w:rFonts w:ascii="Times New Roman" w:hAnsi="Times New Roman" w:cs="Times New Roman"/>
          <w:b/>
          <w:bCs/>
        </w:rPr>
        <w:t xml:space="preserve"> </w:t>
      </w:r>
      <w:r w:rsidR="000C77F0">
        <w:rPr>
          <w:rFonts w:ascii="Times New Roman" w:hAnsi="Times New Roman" w:cs="Times New Roman"/>
          <w:b/>
          <w:bCs/>
        </w:rPr>
        <w:t>Covariates used in past analyses of the ALSFRS-R.</w:t>
      </w:r>
    </w:p>
    <w:p w14:paraId="5F444799" w14:textId="0FFD48B1" w:rsidR="00ED555F" w:rsidRPr="00CF06B0" w:rsidRDefault="00931371" w:rsidP="000C77F0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DA5AAA" wp14:editId="3287F03A">
            <wp:extent cx="5943600" cy="5283200"/>
            <wp:effectExtent l="0" t="0" r="0" b="0"/>
            <wp:docPr id="178999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93835" name="Picture 17899938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AD1F" w14:textId="61508C03" w:rsidR="00CA50EC" w:rsidRPr="000C77F0" w:rsidRDefault="000C77F0" w:rsidP="000C77F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legend. </w:t>
      </w:r>
      <w:r>
        <w:rPr>
          <w:rFonts w:ascii="Times New Roman" w:hAnsi="Times New Roman" w:cs="Times New Roman"/>
        </w:rPr>
        <w:t>This figure</w:t>
      </w:r>
      <w:r w:rsidR="00C36749">
        <w:rPr>
          <w:rFonts w:ascii="Times New Roman" w:hAnsi="Times New Roman" w:cs="Times New Roman"/>
        </w:rPr>
        <w:t xml:space="preserve"> shows how often specific covariates were included in statistical analysis of the ALSFRS-R across the reviewed studies. ‘Delta-FRS’ refers to the per-baseline slope of ALSFRS-R decline, calculated from symptom onset to trial baseline. </w:t>
      </w:r>
      <w:r w:rsidR="00641DD2">
        <w:rPr>
          <w:rFonts w:ascii="Times New Roman" w:hAnsi="Times New Roman" w:cs="Times New Roman"/>
        </w:rPr>
        <w:t>Abbreviations: FRS = functional rating scale; FVC = forced vital capacity; ALS = amyotrophic lateral sclerosis; SDTC = strength duration time constant; SVC = slow vital capacity; TRICALS = treatment initiative to cure ALS.</w:t>
      </w:r>
    </w:p>
    <w:sectPr w:rsidR="00CA50EC" w:rsidRPr="000C7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5F"/>
    <w:rsid w:val="000C77F0"/>
    <w:rsid w:val="001A1415"/>
    <w:rsid w:val="002100C2"/>
    <w:rsid w:val="00230013"/>
    <w:rsid w:val="00641DD2"/>
    <w:rsid w:val="00761183"/>
    <w:rsid w:val="00867E4A"/>
    <w:rsid w:val="00931371"/>
    <w:rsid w:val="00AA7913"/>
    <w:rsid w:val="00B166B2"/>
    <w:rsid w:val="00B35269"/>
    <w:rsid w:val="00C36749"/>
    <w:rsid w:val="00C6275B"/>
    <w:rsid w:val="00CA50EC"/>
    <w:rsid w:val="00E44C38"/>
    <w:rsid w:val="00ED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DFC5D"/>
  <w15:chartTrackingRefBased/>
  <w15:docId w15:val="{49D008BD-066E-6E42-9BD1-4488A3C0B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55F"/>
  </w:style>
  <w:style w:type="paragraph" w:styleId="Heading1">
    <w:name w:val="heading 1"/>
    <w:basedOn w:val="Normal"/>
    <w:next w:val="Normal"/>
    <w:link w:val="Heading1Char"/>
    <w:uiPriority w:val="9"/>
    <w:qFormat/>
    <w:rsid w:val="00ED5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Weemering, D.N. (Daphne)</dc:creator>
  <cp:keywords/>
  <dc:description/>
  <cp:lastModifiedBy>Weemering, D.N. (Daphne)</cp:lastModifiedBy>
  <cp:revision>7</cp:revision>
  <dcterms:created xsi:type="dcterms:W3CDTF">2025-06-16T15:20:00Z</dcterms:created>
  <dcterms:modified xsi:type="dcterms:W3CDTF">2025-09-04T08:03:00Z</dcterms:modified>
</cp:coreProperties>
</file>