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80EE" w14:textId="67BD358C" w:rsidR="00CA50EC" w:rsidRDefault="00857FBC" w:rsidP="00857FBC">
      <w:pPr>
        <w:spacing w:line="276" w:lineRule="auto"/>
        <w:rPr>
          <w:rFonts w:ascii="Times New Roman" w:hAnsi="Times New Roman" w:cs="Times New Roman"/>
        </w:rPr>
      </w:pPr>
      <w:r w:rsidRPr="00857FBC">
        <w:rPr>
          <w:rFonts w:ascii="Times New Roman" w:hAnsi="Times New Roman" w:cs="Times New Roman"/>
          <w:b/>
          <w:bCs/>
        </w:rPr>
        <w:t xml:space="preserve">Supplement </w:t>
      </w:r>
      <w:r w:rsidR="0042227F">
        <w:rPr>
          <w:rFonts w:ascii="Times New Roman" w:hAnsi="Times New Roman" w:cs="Times New Roman"/>
          <w:b/>
          <w:bCs/>
        </w:rPr>
        <w:t>8</w:t>
      </w:r>
      <w:r w:rsidRPr="00857FBC">
        <w:rPr>
          <w:rFonts w:ascii="Times New Roman" w:hAnsi="Times New Roman" w:cs="Times New Roman"/>
          <w:b/>
          <w:bCs/>
        </w:rPr>
        <w:t xml:space="preserve">. Intercurrent events that led to </w:t>
      </w:r>
      <w:r>
        <w:rPr>
          <w:rFonts w:ascii="Times New Roman" w:hAnsi="Times New Roman" w:cs="Times New Roman"/>
          <w:b/>
          <w:bCs/>
        </w:rPr>
        <w:t xml:space="preserve">permanent discontinuation of follow-up in reviewed trials. </w:t>
      </w:r>
    </w:p>
    <w:p w14:paraId="5623E8E5" w14:textId="492CAFC1" w:rsidR="00857FBC" w:rsidRDefault="00915F33" w:rsidP="00857FB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5F6E3B" wp14:editId="594D91F3">
            <wp:extent cx="5943600" cy="5283200"/>
            <wp:effectExtent l="0" t="0" r="0" b="0"/>
            <wp:docPr id="76558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80294" name="Picture 7655802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E208" w14:textId="222DFA79" w:rsidR="00857FBC" w:rsidRPr="00857FBC" w:rsidRDefault="00857FBC" w:rsidP="00857FB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legend. </w:t>
      </w:r>
      <w:r>
        <w:rPr>
          <w:rFonts w:ascii="Times New Roman" w:hAnsi="Times New Roman" w:cs="Times New Roman"/>
        </w:rPr>
        <w:t xml:space="preserve">This figure shows how often specific intercurrent events occurred across the reviewed studies. “Unclear (other)” refers to unspecified intercurrent events. </w:t>
      </w:r>
    </w:p>
    <w:sectPr w:rsidR="00857FBC" w:rsidRPr="00857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BC"/>
    <w:rsid w:val="001A1415"/>
    <w:rsid w:val="002100C2"/>
    <w:rsid w:val="0042227F"/>
    <w:rsid w:val="00857FBC"/>
    <w:rsid w:val="00867E4A"/>
    <w:rsid w:val="00915F33"/>
    <w:rsid w:val="00B166B2"/>
    <w:rsid w:val="00C6275B"/>
    <w:rsid w:val="00CA50EC"/>
    <w:rsid w:val="00E4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E4884"/>
  <w15:chartTrackingRefBased/>
  <w15:docId w15:val="{655441BB-BA97-974C-8D33-34CDE95D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3</cp:revision>
  <dcterms:created xsi:type="dcterms:W3CDTF">2025-07-17T07:20:00Z</dcterms:created>
  <dcterms:modified xsi:type="dcterms:W3CDTF">2025-09-04T08:04:00Z</dcterms:modified>
</cp:coreProperties>
</file>