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cs="Calibri"/>
          <w:b/>
          <w:i w:val="0"/>
          <w:color w:val="B08020"/>
          <w:sz w:val="16"/>
        </w:rPr>
        <w:t>DAPL/DSSD · PEGADA LEGISLATIVA · MAIO 2026</w:t>
      </w:r>
    </w:p>
    <w:p>
      <w:pPr>
        <w:spacing w:before="0" w:after="40"/>
      </w:pPr>
      <w:r>
        <w:rPr>
          <w:rFonts w:ascii="Cambria" w:hAnsi="Cambria" w:cs="Cambria"/>
          <w:b/>
          <w:i w:val="0"/>
          <w:color w:val="06203F"/>
          <w:sz w:val="40"/>
        </w:rPr>
        <w:t>Pegada Legislativa — pré-instalação na RING</w:t>
      </w:r>
    </w:p>
    <w:p>
      <w:pPr>
        <w:spacing w:after="200"/>
      </w:pPr>
      <w:r>
        <w:rPr>
          <w:rFonts w:ascii="Calibri" w:hAnsi="Calibri" w:cs="Calibri"/>
          <w:b w:val="0"/>
          <w:i/>
          <w:color w:val="5B6478"/>
          <w:sz w:val="20"/>
        </w:rPr>
        <w:t>Agenda de uma página · DAPL/DSSD → DSTD + SmartLegis</w:t>
      </w:r>
    </w:p>
    <w:p>
      <w:pPr>
        <w:pBdr>
          <w:bottom w:val="single" w:sz="6" w:space="1" w:color="D9E0EA"/>
        </w:pBdr>
      </w:pPr>
    </w:p>
    <w:p>
      <w:pPr>
        <w:spacing w:before="200" w:after="80"/>
      </w:pPr>
      <w:r>
        <w:rPr>
          <w:rFonts w:ascii="Cambria" w:hAnsi="Cambria" w:cs="Cambria"/>
          <w:b/>
          <w:i w:val="0"/>
          <w:color w:val="06203F"/>
          <w:sz w:val="26"/>
        </w:rPr>
        <w:t>Contexto em três frases</w:t>
      </w:r>
    </w:p>
    <w:p>
      <w:pPr>
        <w:spacing w:after="160"/>
      </w:pPr>
      <w:r>
        <w:rPr>
          <w:rFonts w:ascii="Calibri" w:hAnsi="Calibri" w:cs="Calibri"/>
          <w:b w:val="0"/>
          <w:i w:val="0"/>
          <w:sz w:val="21"/>
        </w:rPr>
        <w:t xml:space="preserve">A </w:t>
      </w:r>
      <w:r>
        <w:rPr>
          <w:rFonts w:ascii="Calibri" w:hAnsi="Calibri" w:cs="Calibri"/>
          <w:b/>
          <w:i w:val="0"/>
          <w:color w:val="0C1729"/>
          <w:sz w:val="21"/>
        </w:rPr>
        <w:t>Lei n.º 5-A/2026</w:t>
      </w:r>
      <w:r>
        <w:rPr>
          <w:rFonts w:ascii="Calibri" w:hAnsi="Calibri" w:cs="Calibri"/>
          <w:b w:val="0"/>
          <w:i w:val="0"/>
          <w:sz w:val="21"/>
        </w:rPr>
        <w:t xml:space="preserve"> obriga a documentar interlocutores e contributos no processo legislativo. Para tornar esta obrigação efetiva, a </w:t>
      </w:r>
      <w:r>
        <w:rPr>
          <w:rFonts w:ascii="Calibri" w:hAnsi="Calibri" w:cs="Calibri"/>
          <w:b/>
          <w:i w:val="0"/>
          <w:color w:val="0C1729"/>
          <w:sz w:val="21"/>
        </w:rPr>
        <w:t>DAPL/DSSD</w:t>
      </w:r>
      <w:r>
        <w:rPr>
          <w:rFonts w:ascii="Calibri" w:hAnsi="Calibri" w:cs="Calibri"/>
          <w:b w:val="0"/>
          <w:i w:val="0"/>
          <w:sz w:val="21"/>
        </w:rPr>
        <w:t xml:space="preserve"> desenhou um sistema de </w:t>
      </w:r>
      <w:r>
        <w:rPr>
          <w:rFonts w:ascii="Calibri" w:hAnsi="Calibri" w:cs="Calibri"/>
          <w:b/>
          <w:i w:val="0"/>
          <w:color w:val="0C1729"/>
          <w:sz w:val="21"/>
        </w:rPr>
        <w:t>quatro marcos bloqueantes (M0/M1/M4/M5)</w:t>
      </w:r>
      <w:r>
        <w:rPr>
          <w:rFonts w:ascii="Calibri" w:hAnsi="Calibri" w:cs="Calibri"/>
          <w:b w:val="0"/>
          <w:i w:val="0"/>
          <w:sz w:val="21"/>
        </w:rPr>
        <w:t xml:space="preserve"> — com a consulta pública a ocorrer entre M1 (Pré-RSE) e M4 (Pré-CM) — cujo cumprimento é verificado pelo </w:t>
      </w:r>
      <w:r>
        <w:rPr>
          <w:rFonts w:ascii="Calibri" w:hAnsi="Calibri" w:cs="Calibri"/>
          <w:b/>
          <w:i w:val="0"/>
          <w:color w:val="0C1729"/>
          <w:sz w:val="21"/>
        </w:rPr>
        <w:t>SmartLegis</w:t>
      </w:r>
      <w:r>
        <w:rPr>
          <w:rFonts w:ascii="Calibri" w:hAnsi="Calibri" w:cs="Calibri"/>
          <w:b w:val="0"/>
          <w:i w:val="0"/>
          <w:sz w:val="21"/>
        </w:rPr>
        <w:t xml:space="preserve"> antes de autorizar a tramitação para RSE, CM e DR. O acoplamento é assíncrono e criptográfico: a FPL Ponte emite um </w:t>
      </w:r>
      <w:r>
        <w:rPr>
          <w:rFonts w:ascii="Calibri" w:hAnsi="Calibri" w:cs="Calibri"/>
          <w:b/>
          <w:i w:val="0"/>
          <w:color w:val="0C1729"/>
          <w:sz w:val="21"/>
        </w:rPr>
        <w:t>JWS Ed25519</w:t>
      </w:r>
      <w:r>
        <w:rPr>
          <w:rFonts w:ascii="Calibri" w:hAnsi="Calibri" w:cs="Calibri"/>
          <w:b w:val="0"/>
          <w:i w:val="0"/>
          <w:sz w:val="21"/>
        </w:rPr>
        <w:t xml:space="preserve"> em cada marco; o SmartLegis verifica-o offline com a chave pública previamente entregue. As restantes integrações (diretório, SMTP, RTRI, ConsultaLEX, DRE) são não-bloqueantes com fallback manual.</w:t>
      </w:r>
    </w:p>
    <w:p>
      <w:pPr>
        <w:spacing w:after="200"/>
      </w:pPr>
      <w:r>
        <w:rPr>
          <w:rFonts w:ascii="Calibri" w:hAnsi="Calibri" w:cs="Calibri"/>
          <w:b w:val="0"/>
          <w:i w:val="0"/>
          <w:color w:val="5B6478"/>
          <w:sz w:val="19"/>
        </w:rPr>
        <w:t xml:space="preserve">Documento completo: </w:t>
      </w:r>
      <w:r>
        <w:rPr>
          <w:rFonts w:ascii="Consolas" w:hAnsi="Consolas" w:cs="Consolas"/>
          <w:b w:val="0"/>
          <w:i w:val="0"/>
          <w:color w:val="0A3161"/>
          <w:sz w:val="19"/>
        </w:rPr>
        <w:t>docs/14_Questionario_Infraestrutura.md</w:t>
      </w:r>
    </w:p>
    <w:p>
      <w:pPr>
        <w:spacing w:before="200" w:after="80"/>
      </w:pPr>
      <w:r>
        <w:rPr>
          <w:rFonts w:ascii="Cambria" w:hAnsi="Cambria" w:cs="Cambria"/>
          <w:b/>
          <w:i w:val="0"/>
          <w:color w:val="06203F"/>
          <w:sz w:val="26"/>
        </w:rPr>
        <w:t>O que o nosso lado já entrega</w:t>
      </w:r>
    </w:p>
    <w:p>
      <w:pPr>
        <w:spacing w:after="200"/>
      </w:pPr>
      <w:r>
        <w:rPr>
          <w:rFonts w:ascii="Calibri" w:hAnsi="Calibri" w:cs="Calibri"/>
          <w:b w:val="0"/>
          <w:i w:val="0"/>
          <w:color w:val="0C1729"/>
          <w:sz w:val="20"/>
        </w:rPr>
        <w:t>Imagem Docker + docker-compose (Postgres/Redis/MinIO) · CSP/CSRF/2FA TOTP · spec do comprovativo fechada (docs/12) · adapters mock/manual para integrações · runbook (docs/06) · DPIA + threat models · análise NIS2 da aplicação (docs/15).</w:t>
      </w:r>
    </w:p>
    <w:p>
      <w:pPr>
        <w:pBdr>
          <w:bottom w:val="single" w:sz="6" w:space="1" w:color="D9E0EA"/>
        </w:pBdr>
      </w:pPr>
    </w:p>
    <w:p>
      <w:pPr>
        <w:spacing w:before="200" w:after="80"/>
      </w:pPr>
      <w:r>
        <w:rPr>
          <w:rFonts w:ascii="Cambria" w:hAnsi="Cambria" w:cs="Cambria"/>
          <w:b/>
          <w:i w:val="0"/>
          <w:color w:val="06203F"/>
          <w:sz w:val="26"/>
        </w:rPr>
        <w:t>Decisões bloqueantes</w:t>
      </w:r>
    </w:p>
    <w:p>
      <w:pPr>
        <w:spacing w:after="120"/>
      </w:pPr>
      <w:r>
        <w:rPr>
          <w:rFonts w:ascii="Calibri" w:hAnsi="Calibri" w:cs="Calibri"/>
          <w:b w:val="0"/>
          <w:i/>
          <w:color w:val="5B6478"/>
          <w:sz w:val="19"/>
        </w:rPr>
        <w:t>Precisam de resposta antes da geração da chave Ed25519.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4"/>
            <w:vAlign w:val="center"/>
            <w:shd w:val="clear" w:color="auto" w:fill="0A3161"/>
            <w:tcBorders>
              <w:bottom w:val="single" w:sz="12" w:color="B08020"/>
            </w:tcBorders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288"/>
            <w:vAlign w:val="center"/>
            <w:shd w:val="clear" w:color="auto" w:fill="0A3161"/>
            <w:tcBorders>
              <w:bottom w:val="single" w:sz="12" w:color="B08020"/>
            </w:tcBorders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Decisão</w:t>
            </w:r>
          </w:p>
        </w:tc>
        <w:tc>
          <w:tcPr>
            <w:tcW w:type="dxa" w:w="1587"/>
            <w:vAlign w:val="center"/>
            <w:shd w:val="clear" w:color="auto" w:fill="0A3161"/>
            <w:tcBorders>
              <w:bottom w:val="single" w:sz="12" w:color="B08020"/>
            </w:tcBorders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Quem decide</w:t>
            </w:r>
          </w:p>
        </w:tc>
        <w:tc>
          <w:tcPr>
            <w:tcW w:type="dxa" w:w="3742"/>
            <w:vAlign w:val="center"/>
            <w:shd w:val="clear" w:color="auto" w:fill="0A3161"/>
            <w:tcBorders>
              <w:bottom w:val="single" w:sz="12" w:color="B08020"/>
            </w:tcBorders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Porquê é bloqueante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0A3161"/>
                <w:sz w:val="19"/>
              </w:rPr>
              <w:t>1</w:t>
            </w:r>
          </w:p>
        </w:tc>
        <w:tc>
          <w:tcPr>
            <w:tcW w:type="dxa" w:w="3288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Nome DNS interno definitivo (sugestão fpl.sggov.gov.pt)</w:t>
            </w:r>
          </w:p>
        </w:tc>
        <w:tc>
          <w:tcPr>
            <w:tcW w:type="dxa" w:w="1587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DSTD + DAPL/DSSD</w:t>
            </w:r>
          </w:p>
        </w:tc>
        <w:tc>
          <w:tcPr>
            <w:tcW w:type="dxa" w:w="3742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Hardcoded no iss do JWS — mudar implica nova chave e nova distribuição</w:t>
            </w:r>
          </w:p>
        </w:tc>
      </w:tr>
      <w:tr>
        <w:tc>
          <w:tcPr>
            <w:tcW w:type="dxa" w:w="454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0A3161"/>
                <w:sz w:val="19"/>
              </w:rPr>
              <w:t>2</w:t>
            </w:r>
          </w:p>
        </w:tc>
        <w:tc>
          <w:tcPr>
            <w:tcW w:type="dxa" w:w="3288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Cofre de segredos e modo da chave privada Ed25519 (HSM ou ficheiro 0600?)</w:t>
            </w:r>
          </w:p>
        </w:tc>
        <w:tc>
          <w:tcPr>
            <w:tcW w:type="dxa" w:w="1587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DSTD</w:t>
            </w:r>
          </w:p>
        </w:tc>
        <w:tc>
          <w:tcPr>
            <w:tcW w:type="dxa" w:w="3742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Afeta o módulo de assinatura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0A3161"/>
                <w:sz w:val="19"/>
              </w:rPr>
              <w:t>3</w:t>
            </w:r>
          </w:p>
        </w:tc>
        <w:tc>
          <w:tcPr>
            <w:tcW w:type="dxa" w:w="3288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Calendário do SmartLegis para o verificador (T0 + 10 sem é viável até 27 jul?)</w:t>
            </w:r>
          </w:p>
        </w:tc>
        <w:tc>
          <w:tcPr>
            <w:tcW w:type="dxa" w:w="1587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SmartLegis</w:t>
            </w:r>
          </w:p>
        </w:tc>
        <w:tc>
          <w:tcPr>
            <w:tcW w:type="dxa" w:w="3742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Prazo legal de entrada em vigor</w:t>
            </w:r>
          </w:p>
        </w:tc>
      </w:tr>
      <w:tr>
        <w:tc>
          <w:tcPr>
            <w:tcW w:type="dxa" w:w="454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0A3161"/>
                <w:sz w:val="19"/>
              </w:rPr>
              <w:t>4</w:t>
            </w:r>
          </w:p>
        </w:tc>
        <w:tc>
          <w:tcPr>
            <w:tcW w:type="dxa" w:w="3288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Diretório interno — LDAP/AD URL, base DN, conta de bind, mapeamento de grupos</w:t>
            </w:r>
          </w:p>
        </w:tc>
        <w:tc>
          <w:tcPr>
            <w:tcW w:type="dxa" w:w="1587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DSTD</w:t>
            </w:r>
          </w:p>
        </w:tc>
        <w:tc>
          <w:tcPr>
            <w:tcW w:type="dxa" w:w="3742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Sem isto fica em modo local (não escala)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0A3161"/>
                <w:sz w:val="19"/>
              </w:rPr>
              <w:t>5</w:t>
            </w:r>
          </w:p>
        </w:tc>
        <w:tc>
          <w:tcPr>
            <w:tcW w:type="dxa" w:w="3288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VLAN, firewall ingress/egress e reverse proxy interno</w:t>
            </w:r>
          </w:p>
        </w:tc>
        <w:tc>
          <w:tcPr>
            <w:tcW w:type="dxa" w:w="1587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DSTD</w:t>
            </w:r>
          </w:p>
        </w:tc>
        <w:tc>
          <w:tcPr>
            <w:tcW w:type="dxa" w:w="3742"/>
            <w:vAlign w:val="top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Sem ingress não há acesso; sem egress integrações ficam em manual</w:t>
            </w:r>
          </w:p>
        </w:tc>
      </w:tr>
      <w:tr>
        <w:tc>
          <w:tcPr>
            <w:tcW w:type="dxa" w:w="454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i w:val="0"/>
                <w:color w:val="0A3161"/>
                <w:sz w:val="19"/>
              </w:rPr>
              <w:t>6</w:t>
            </w:r>
          </w:p>
        </w:tc>
        <w:tc>
          <w:tcPr>
            <w:tcW w:type="dxa" w:w="3288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Validação NIS2 institucional (CISO assina configuração + canal de notificação CNCS)</w:t>
            </w:r>
          </w:p>
        </w:tc>
        <w:tc>
          <w:tcPr>
            <w:tcW w:type="dxa" w:w="1587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DSTD</w:t>
            </w:r>
          </w:p>
        </w:tc>
        <w:tc>
          <w:tcPr>
            <w:tcW w:type="dxa" w:w="3742"/>
            <w:vAlign w:val="top"/>
            <w:shd w:val="clear" w:color="auto" w:fill="F6F8FB"/>
          </w:tcPr>
          <w:p>
            <w:pPr>
              <w:spacing w:after="40" w:before="40"/>
            </w:pP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>Sem isto, o go-live não tem cobertura institucional NIS2</w:t>
            </w:r>
          </w:p>
        </w:tc>
      </w:tr>
    </w:tbl>
    <w:p>
      <w:pPr>
        <w:spacing w:after="40"/>
      </w:pPr>
    </w:p>
    <w:p>
      <w:pPr>
        <w:pBdr>
          <w:bottom w:val="single" w:sz="6" w:space="1" w:color="D9E0EA"/>
        </w:pBdr>
      </w:pPr>
    </w:p>
    <w:p>
      <w:pPr>
        <w:spacing w:before="200" w:after="80"/>
      </w:pPr>
      <w:r>
        <w:rPr>
          <w:rFonts w:ascii="Cambria" w:hAnsi="Cambria" w:cs="Cambria"/>
          <w:b/>
          <w:i w:val="0"/>
          <w:color w:val="06203F"/>
          <w:sz w:val="26"/>
        </w:rPr>
        <w:t>Outras perguntas críticas (não bloqueantes mas urgentes)</w:t>
      </w:r>
    </w:p>
    <w:p>
      <w:pPr>
        <w:spacing w:after="60"/>
      </w:pPr>
      <w:r>
        <w:rPr>
          <w:rFonts w:ascii="Calibri" w:hAnsi="Calibri" w:cs="Calibri"/>
          <w:b/>
          <w:i w:val="0"/>
          <w:color w:val="06203F"/>
          <w:sz w:val="20"/>
        </w:rPr>
        <w:t xml:space="preserve">Serviços de dados: </w:t>
      </w:r>
      <w:r>
        <w:rPr>
          <w:rFonts w:ascii="Calibri" w:hAnsi="Calibri" w:cs="Calibri"/>
          <w:b w:val="0"/>
          <w:i w:val="0"/>
          <w:color w:val="0C1729"/>
          <w:sz w:val="20"/>
        </w:rPr>
        <w:t>Postgres 16 / Redis 7 / MinIO geridos pela DSTD ou container nosso?</w:t>
      </w:r>
    </w:p>
    <w:p>
      <w:pPr>
        <w:spacing w:after="60"/>
      </w:pPr>
      <w:r>
        <w:rPr>
          <w:rFonts w:ascii="Calibri" w:hAnsi="Calibri" w:cs="Calibri"/>
          <w:b/>
          <w:i w:val="0"/>
          <w:color w:val="06203F"/>
          <w:sz w:val="20"/>
        </w:rPr>
        <w:t xml:space="preserve">SMTP do Estado: </w:t>
      </w:r>
      <w:r>
        <w:rPr>
          <w:rFonts w:ascii="Calibri" w:hAnsi="Calibri" w:cs="Calibri"/>
          <w:b w:val="0"/>
          <w:i w:val="0"/>
          <w:color w:val="0C1729"/>
          <w:sz w:val="20"/>
        </w:rPr>
        <w:t>Host, porta, endereço From, limites de throughput?</w:t>
      </w:r>
    </w:p>
    <w:p>
      <w:pPr>
        <w:spacing w:after="60"/>
      </w:pPr>
      <w:r>
        <w:rPr>
          <w:rFonts w:ascii="Calibri" w:hAnsi="Calibri" w:cs="Calibri"/>
          <w:b/>
          <w:i w:val="0"/>
          <w:color w:val="06203F"/>
          <w:sz w:val="20"/>
        </w:rPr>
        <w:t xml:space="preserve">RTRI / DRE: </w:t>
      </w:r>
      <w:r>
        <w:rPr>
          <w:rFonts w:ascii="Calibri" w:hAnsi="Calibri" w:cs="Calibri"/>
          <w:b w:val="0"/>
          <w:i w:val="0"/>
          <w:color w:val="0C1729"/>
          <w:sz w:val="20"/>
        </w:rPr>
        <w:t>Acordos de uso das APIs? Calendário? (ConsultaLEX agora coordenado internamente com a DSTD.)</w:t>
      </w:r>
    </w:p>
    <w:p>
      <w:pPr>
        <w:spacing w:after="60"/>
      </w:pPr>
      <w:r>
        <w:rPr>
          <w:rFonts w:ascii="Calibri" w:hAnsi="Calibri" w:cs="Calibri"/>
          <w:b/>
          <w:i w:val="0"/>
          <w:color w:val="06203F"/>
          <w:sz w:val="20"/>
        </w:rPr>
        <w:t xml:space="preserve">Distribuição da imagem: </w:t>
      </w:r>
      <w:r>
        <w:rPr>
          <w:rFonts w:ascii="Calibri" w:hAnsi="Calibri" w:cs="Calibri"/>
          <w:b w:val="0"/>
          <w:i w:val="0"/>
          <w:color w:val="0C1729"/>
          <w:sz w:val="20"/>
        </w:rPr>
        <w:t>GHCR → registry interno? Procedimento de promoção?</w:t>
      </w:r>
    </w:p>
    <w:p>
      <w:pPr>
        <w:spacing w:after="60"/>
      </w:pPr>
      <w:r>
        <w:rPr>
          <w:rFonts w:ascii="Calibri" w:hAnsi="Calibri" w:cs="Calibri"/>
          <w:b/>
          <w:i w:val="0"/>
          <w:color w:val="06203F"/>
          <w:sz w:val="20"/>
        </w:rPr>
        <w:t xml:space="preserve">Backups e retenção: </w:t>
      </w:r>
      <w:r>
        <w:rPr>
          <w:rFonts w:ascii="Calibri" w:hAnsi="Calibri" w:cs="Calibri"/>
          <w:b w:val="0"/>
          <w:i w:val="0"/>
          <w:color w:val="0C1729"/>
          <w:sz w:val="20"/>
        </w:rPr>
        <w:t>RPO/RTO? Storage WORM para arquivo de 10 anos dos comprovativos?</w:t>
      </w:r>
    </w:p>
    <w:p>
      <w:pPr>
        <w:spacing w:after="60"/>
      </w:pPr>
      <w:r>
        <w:rPr>
          <w:rFonts w:ascii="Calibri" w:hAnsi="Calibri" w:cs="Calibri"/>
          <w:b/>
          <w:i w:val="0"/>
          <w:color w:val="06203F"/>
          <w:sz w:val="20"/>
        </w:rPr>
        <w:t xml:space="preserve">Monitorização: </w:t>
      </w:r>
      <w:r>
        <w:rPr>
          <w:rFonts w:ascii="Calibri" w:hAnsi="Calibri" w:cs="Calibri"/>
          <w:b w:val="0"/>
          <w:i w:val="0"/>
          <w:color w:val="0C1729"/>
          <w:sz w:val="20"/>
        </w:rPr>
        <w:t>Prometheus centralizado? AlertManager? Agregação de logs?</w:t>
      </w:r>
    </w:p>
    <w:p>
      <w:pPr>
        <w:spacing w:after="60"/>
      </w:pPr>
      <w:r>
        <w:rPr>
          <w:rFonts w:ascii="Calibri" w:hAnsi="Calibri" w:cs="Calibri"/>
          <w:b/>
          <w:i w:val="0"/>
          <w:color w:val="06203F"/>
          <w:sz w:val="20"/>
        </w:rPr>
        <w:t xml:space="preserve">Operação 24/7: </w:t>
      </w:r>
      <w:r>
        <w:rPr>
          <w:rFonts w:ascii="Calibri" w:hAnsi="Calibri" w:cs="Calibri"/>
          <w:b w:val="0"/>
          <w:i w:val="0"/>
          <w:color w:val="0C1729"/>
          <w:sz w:val="20"/>
        </w:rPr>
        <w:t>DSTD, DAPL/DSSD em horário útil, ou modelo misto?</w:t>
      </w:r>
    </w:p>
    <w:p>
      <w:pPr>
        <w:spacing w:after="60"/>
      </w:pPr>
      <w:r>
        <w:rPr>
          <w:rFonts w:ascii="Calibri" w:hAnsi="Calibri" w:cs="Calibri"/>
          <w:b/>
          <w:i w:val="0"/>
          <w:color w:val="06203F"/>
          <w:sz w:val="20"/>
        </w:rPr>
        <w:t xml:space="preserve">Conformidade NIS2: </w:t>
      </w:r>
      <w:r>
        <w:rPr>
          <w:rFonts w:ascii="Calibri" w:hAnsi="Calibri" w:cs="Calibri"/>
          <w:b w:val="0"/>
          <w:i w:val="0"/>
          <w:color w:val="0C1729"/>
          <w:sz w:val="20"/>
        </w:rPr>
        <w:t>Análise da app face ao art. 21.º já em docs/15 (5 cumprem · 3 parciais · 1 a iniciar · 1 dependente · nenhum em incumprimento). Falta integração institucional: CISO, SOC/SIEM, notificação CNCS, encriptação em repouso.</w:t>
      </w:r>
    </w:p>
    <w:p>
      <w:pPr>
        <w:pBdr>
          <w:bottom w:val="single" w:sz="6" w:space="1" w:color="D9E0EA"/>
        </w:pBdr>
      </w:pPr>
    </w:p>
    <w:p>
      <w:pPr>
        <w:spacing w:before="200" w:after="80"/>
      </w:pPr>
      <w:r>
        <w:rPr>
          <w:rFonts w:ascii="Cambria" w:hAnsi="Cambria" w:cs="Cambria"/>
          <w:b/>
          <w:i w:val="0"/>
          <w:color w:val="06203F"/>
          <w:sz w:val="26"/>
        </w:rPr>
        <w:t>O que o SmartLegis tem de desenvolver</w:t>
      </w:r>
    </w:p>
    <w:p>
      <w:pPr>
        <w:spacing w:after="60"/>
      </w:pPr>
      <w:r>
        <w:rPr>
          <w:rFonts w:ascii="Calibri" w:hAnsi="Calibri" w:cs="Calibri"/>
          <w:b/>
          <w:i w:val="0"/>
          <w:color w:val="B08020"/>
          <w:sz w:val="20"/>
        </w:rPr>
        <w:t xml:space="preserve">  1. </w:t>
      </w:r>
      <w:r>
        <w:rPr>
          <w:rFonts w:ascii="Calibri" w:hAnsi="Calibri" w:cs="Calibri"/>
          <w:b w:val="0"/>
          <w:i w:val="0"/>
          <w:color w:val="0C1729"/>
          <w:sz w:val="20"/>
        </w:rPr>
        <w:t>Verificador JWS Ed25519 (~6 semanas) — algoritmo em docs/12 §4. Bibliotecas standard, sem dependência síncrona da FPL Ponte.</w:t>
      </w:r>
    </w:p>
    <w:p>
      <w:pPr>
        <w:spacing w:after="60"/>
      </w:pPr>
      <w:r>
        <w:rPr>
          <w:rFonts w:ascii="Calibri" w:hAnsi="Calibri" w:cs="Calibri"/>
          <w:b/>
          <w:i w:val="0"/>
          <w:color w:val="B08020"/>
          <w:sz w:val="20"/>
        </w:rPr>
        <w:t xml:space="preserve">  2. </w:t>
      </w:r>
      <w:r>
        <w:rPr>
          <w:rFonts w:ascii="Calibri" w:hAnsi="Calibri" w:cs="Calibri"/>
          <w:b w:val="0"/>
          <w:i w:val="0"/>
          <w:color w:val="0C1729"/>
          <w:sz w:val="20"/>
        </w:rPr>
        <w:t>Regra de aceitação por estado — RSE exige M0+M1; CM exige +M4; DR exige +M5. (CP entre RSE e CM: M2 abre, M3 encerra; ambos informativos.)</w:t>
      </w:r>
    </w:p>
    <w:p>
      <w:pPr>
        <w:spacing w:after="60"/>
      </w:pPr>
      <w:r>
        <w:rPr>
          <w:rFonts w:ascii="Calibri" w:hAnsi="Calibri" w:cs="Calibri"/>
          <w:b/>
          <w:i w:val="0"/>
          <w:color w:val="B08020"/>
          <w:sz w:val="20"/>
        </w:rPr>
        <w:t xml:space="preserve">  3. </w:t>
      </w:r>
      <w:r>
        <w:rPr>
          <w:rFonts w:ascii="Calibri" w:hAnsi="Calibri" w:cs="Calibri"/>
          <w:b w:val="0"/>
          <w:i w:val="0"/>
          <w:color w:val="0C1729"/>
          <w:sz w:val="20"/>
        </w:rPr>
        <w:t>Bloqueio com mensagem específica quando falha (alg-recusado, kid-desconhecido, assinatura-invalida, expirado, ...).</w:t>
      </w:r>
    </w:p>
    <w:p>
      <w:pPr>
        <w:spacing w:after="60"/>
      </w:pPr>
      <w:r>
        <w:rPr>
          <w:rFonts w:ascii="Calibri" w:hAnsi="Calibri" w:cs="Calibri"/>
          <w:b/>
          <w:i w:val="0"/>
          <w:color w:val="B08020"/>
          <w:sz w:val="20"/>
        </w:rPr>
        <w:t xml:space="preserve">  4. </w:t>
      </w:r>
      <w:r>
        <w:rPr>
          <w:rFonts w:ascii="Calibri" w:hAnsi="Calibri" w:cs="Calibri"/>
          <w:b w:val="0"/>
          <w:i w:val="0"/>
          <w:color w:val="0C1729"/>
          <w:sz w:val="20"/>
        </w:rPr>
        <w:t>Validação contra vetores de teste TV1–TV6 antes do go-live.</w:t>
      </w:r>
    </w:p>
    <w:p>
      <w:pPr>
        <w:pBdr>
          <w:bottom w:val="single" w:sz="6" w:space="1" w:color="D9E0EA"/>
        </w:pBdr>
      </w:pPr>
    </w:p>
    <w:p>
      <w:pPr>
        <w:spacing w:before="200" w:after="80"/>
      </w:pPr>
      <w:r>
        <w:rPr>
          <w:rFonts w:ascii="Cambria" w:hAnsi="Cambria" w:cs="Cambria"/>
          <w:b/>
          <w:i w:val="0"/>
          <w:color w:val="06203F"/>
          <w:sz w:val="26"/>
        </w:rPr>
        <w:t>Pedido concreto desta reunião</w:t>
      </w:r>
    </w:p>
    <w:p>
      <w:pPr>
        <w:spacing w:after="60"/>
      </w:pPr>
      <w:r>
        <w:rPr>
          <w:rFonts w:ascii="Calibri" w:hAnsi="Calibri" w:cs="Calibri"/>
          <w:b/>
          <w:i w:val="0"/>
          <w:color w:val="0A3161"/>
          <w:sz w:val="20"/>
        </w:rPr>
        <w:t xml:space="preserve">  1. </w:t>
      </w:r>
      <w:r>
        <w:rPr>
          <w:rFonts w:ascii="Calibri" w:hAnsi="Calibri" w:cs="Calibri"/>
          <w:b w:val="0"/>
          <w:i w:val="0"/>
          <w:color w:val="0C1729"/>
          <w:sz w:val="20"/>
        </w:rPr>
        <w:t>Calendarizar resposta às 6 decisões bloqueantes (proposta: 10 dias úteis).</w:t>
      </w:r>
    </w:p>
    <w:p>
      <w:pPr>
        <w:spacing w:after="60"/>
      </w:pPr>
      <w:r>
        <w:rPr>
          <w:rFonts w:ascii="Calibri" w:hAnsi="Calibri" w:cs="Calibri"/>
          <w:b/>
          <w:i w:val="0"/>
          <w:color w:val="0A3161"/>
          <w:sz w:val="20"/>
        </w:rPr>
        <w:t xml:space="preserve">  2. </w:t>
      </w:r>
      <w:r>
        <w:rPr>
          <w:rFonts w:ascii="Calibri" w:hAnsi="Calibri" w:cs="Calibri"/>
          <w:b w:val="0"/>
          <w:i w:val="0"/>
          <w:color w:val="0C1729"/>
          <w:sz w:val="20"/>
        </w:rPr>
        <w:t>Identificar o ponto de contacto único na DSTD para esta instalação.</w:t>
      </w:r>
    </w:p>
    <w:p>
      <w:pPr>
        <w:spacing w:after="60"/>
      </w:pPr>
      <w:r>
        <w:rPr>
          <w:rFonts w:ascii="Calibri" w:hAnsi="Calibri" w:cs="Calibri"/>
          <w:b/>
          <w:i w:val="0"/>
          <w:color w:val="0A3161"/>
          <w:sz w:val="20"/>
        </w:rPr>
        <w:t xml:space="preserve">  3. </w:t>
      </w:r>
      <w:r>
        <w:rPr>
          <w:rFonts w:ascii="Calibri" w:hAnsi="Calibri" w:cs="Calibri"/>
          <w:b w:val="0"/>
          <w:i w:val="0"/>
          <w:color w:val="0C1729"/>
          <w:sz w:val="20"/>
        </w:rPr>
        <w:t>Confirmar o calendário do SmartLegis ou identificar dependências que o ponham em risco.</w:t>
      </w:r>
    </w:p>
    <w:p>
      <w:pPr>
        <w:spacing w:after="60"/>
      </w:pPr>
      <w:r>
        <w:rPr>
          <w:rFonts w:ascii="Calibri" w:hAnsi="Calibri" w:cs="Calibri"/>
          <w:b/>
          <w:i w:val="0"/>
          <w:color w:val="0A3161"/>
          <w:sz w:val="20"/>
        </w:rPr>
        <w:t xml:space="preserve">  4. </w:t>
      </w:r>
      <w:r>
        <w:rPr>
          <w:rFonts w:ascii="Calibri" w:hAnsi="Calibri" w:cs="Calibri"/>
          <w:b w:val="0"/>
          <w:i w:val="0"/>
          <w:color w:val="0C1729"/>
          <w:sz w:val="20"/>
        </w:rPr>
        <w:t>Marcar reunião técnica de seguimento com a especificação do comprovativo (docs/12) aberta para Q&amp;A.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6"/>
            <w:tcBorders>
              <w:top w:val="single" w:sz="12" w:color="B08020"/>
              <w:bottom w:val="single" w:sz="12" w:color="B08020"/>
              <w:start w:val="single" w:sz="12" w:color="B08020"/>
              <w:end w:val="single" w:sz="12" w:color="B08020"/>
            </w:tcBorders>
          </w:tcPr>
          <w:p>
            <w:pPr>
              <w:spacing w:before="120" w:after="120"/>
            </w:pPr>
            <w:r>
              <w:rPr>
                <w:rFonts w:ascii="Calibri" w:hAnsi="Calibri" w:cs="Calibri"/>
                <w:b/>
                <w:i w:val="0"/>
                <w:color w:val="B08020"/>
                <w:sz w:val="20"/>
              </w:rPr>
              <w:t xml:space="preserve">PRAZO LEGAL  ·  </w:t>
            </w:r>
            <w:r>
              <w:rPr>
                <w:rFonts w:ascii="Calibri" w:hAnsi="Calibri" w:cs="Calibri"/>
                <w:b/>
                <w:i w:val="0"/>
                <w:color w:val="06203F"/>
                <w:sz w:val="24"/>
              </w:rPr>
              <w:t>27 de julho de 2026</w:t>
            </w:r>
            <w:r>
              <w:rPr>
                <w:rFonts w:ascii="Calibri" w:hAnsi="Calibri" w:cs="Calibri"/>
                <w:b w:val="0"/>
                <w:i w:val="0"/>
                <w:color w:val="0C1729"/>
                <w:sz w:val="19"/>
              </w:rPr>
              <w:t xml:space="preserve">  — entrada em vigor da Lei n.º 5-A/2026. Caminho crítico: instalação na RING + verificador no SmartLegis + ligação ao diretório + DPIA submetida à CNPD.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Calibri" w:hAnsi="Calibri" w:cs="Calibri"/>
          <w:b w:val="0"/>
          <w:i/>
          <w:color w:val="9AA5B6"/>
          <w:sz w:val="17"/>
        </w:rPr>
        <w:t>Documento completo, perguntas detalhadas com impacto por decisão, e checklist de go-live em docs/14_Questionario_Infraestrutura.md.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