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349E" w14:textId="77777777" w:rsidR="00D71B7F" w:rsidRDefault="00D71B7F" w:rsidP="00D71B7F">
      <w:pPr>
        <w:pStyle w:val="1"/>
      </w:pPr>
      <w:bookmarkStart w:id="0" w:name="_Toc154736511"/>
      <w:r>
        <w:t>ГЛАВА 3. ИССЛЕДОВАНИЕ ВЗАИМОСВЯЗИ МЕЖДУ НРАВСТВЕННЫМ ЗДОРОВЬЕМ И УРОВНЕМ БЛАГОСОСТОЯНИЯ</w:t>
      </w:r>
      <w:bookmarkEnd w:id="0"/>
    </w:p>
    <w:p w14:paraId="47144852" w14:textId="77777777" w:rsidR="00D71B7F" w:rsidRDefault="00D71B7F" w:rsidP="00D71B7F">
      <w:pPr>
        <w:pStyle w:val="1"/>
      </w:pPr>
      <w:bookmarkStart w:id="1" w:name="_Toc154736512"/>
      <w:r>
        <w:t>3.1 Составление индикаторов благосостояния на основе переменных, отвечающих за смертные грехи, для субъектов РФ</w:t>
      </w:r>
      <w:bookmarkEnd w:id="1"/>
    </w:p>
    <w:p w14:paraId="70275118" w14:textId="77777777" w:rsidR="00D71B7F" w:rsidRDefault="00D71B7F" w:rsidP="00D71B7F">
      <w:r>
        <w:t xml:space="preserve">До того, как перейти к данным по индивидам хотелось бы изначально попытаться, используя методику, представленную на табл.2, переопределить смертные грехи в индикаторы благосостояния на примере данных, которые доступны для субъектов РФ. Изначально мы составили широкий список показателей, основываясь на имеющихся данных, который для конечного анализа был сокращен посредством корреляционного анализа для избавления от </w:t>
      </w:r>
      <w:proofErr w:type="spellStart"/>
      <w:r>
        <w:t>мультиколинеарности</w:t>
      </w:r>
      <w:proofErr w:type="spellEnd"/>
      <w:r>
        <w:t xml:space="preserve"> в данных. </w:t>
      </w:r>
    </w:p>
    <w:p w14:paraId="2F5F07B8" w14:textId="77777777" w:rsidR="00D71B7F" w:rsidRDefault="00D71B7F" w:rsidP="00D71B7F">
      <w:r>
        <w:t xml:space="preserve">Для греха алчности (жадности) мы рассматривали показатели, которые характеризуют уровень концентрации богатства, поскольку это соответствует каноничному пониманию порока. Были рассмотрены такие показатели, как доля занятости в финансовой и страховой сфере и доля активов, приходящаяся на нее в регионе. Также был рассмотрен коэффициент Джини, который напрямую отражает степень неравенства доходов в регионе и не требует корректировок на уровень цен в регионе. Помимо этого, в расширенной версии была рассмотрена статистика по экономическим преступлениям и кражам на 1000 человек, поскольку их уровень отражает стремление к незаконному чрезмерному обогащению. </w:t>
      </w:r>
    </w:p>
    <w:p w14:paraId="6BB7FD60" w14:textId="77777777" w:rsidR="00D71B7F" w:rsidRPr="007C0D24" w:rsidRDefault="00D71B7F" w:rsidP="00D71B7F">
      <w:r>
        <w:t>Для порока зависти мы пересмотрели подход для определения количественных величин, отражающих склонность к греховному поведению такого рода, и переформулировали его в индикатор потребительства, подразумевая стремление к</w:t>
      </w:r>
      <w:r w:rsidRPr="007274E0">
        <w:t xml:space="preserve"> эгоистичны</w:t>
      </w:r>
      <w:r>
        <w:t>м</w:t>
      </w:r>
      <w:r w:rsidRPr="007274E0">
        <w:t xml:space="preserve"> форм</w:t>
      </w:r>
      <w:r>
        <w:t>ам</w:t>
      </w:r>
      <w:r w:rsidRPr="007274E0">
        <w:t xml:space="preserve"> конкуренции или соперничества — тот, кто завидует, будет стремиться достигнуть признания </w:t>
      </w:r>
      <w:r>
        <w:t>притворством и фальшью. Для выявления данного стремления мы выделили факторы, которые является как его следствием, такие как доля расходов на одежду</w:t>
      </w:r>
      <w:r w:rsidRPr="007C0D24">
        <w:t xml:space="preserve">, </w:t>
      </w:r>
      <w:r>
        <w:t xml:space="preserve">отношение оборота розничной торговли косметикой и одеждой на душу населения к среднедушевым доходам в регионе и степень закредитованности населения, так и показатели, которые могут выступать причиной следование </w:t>
      </w:r>
      <w:proofErr w:type="spellStart"/>
      <w:r>
        <w:t>недобродетели</w:t>
      </w:r>
      <w:proofErr w:type="spellEnd"/>
      <w:r>
        <w:t xml:space="preserve"> – а именно влияние </w:t>
      </w:r>
      <w:proofErr w:type="spellStart"/>
      <w:r>
        <w:t>инфлюенсеров</w:t>
      </w:r>
      <w:proofErr w:type="spellEnd"/>
      <w:r>
        <w:t xml:space="preserve"> (блогеров), которые демонстрацией идеальной картины жизни в социальных сетях заставляют людей завидовать и чувствовать себя несчастными </w:t>
      </w:r>
      <w:r w:rsidRPr="007C0D24">
        <w:t>[</w:t>
      </w:r>
      <w:proofErr w:type="spellStart"/>
      <w:r>
        <w:rPr>
          <w:lang w:val="en-US"/>
        </w:rPr>
        <w:t>Krasnova</w:t>
      </w:r>
      <w:proofErr w:type="spellEnd"/>
      <w:r w:rsidRPr="007C0D24">
        <w:t xml:space="preserve"> </w:t>
      </w:r>
      <w:r>
        <w:rPr>
          <w:lang w:val="en-US"/>
        </w:rPr>
        <w:t>and</w:t>
      </w:r>
      <w:r w:rsidRPr="007C0D24">
        <w:t xml:space="preserve"> </w:t>
      </w:r>
      <w:r>
        <w:rPr>
          <w:lang w:val="en-US"/>
        </w:rPr>
        <w:t>others</w:t>
      </w:r>
      <w:r w:rsidRPr="007C0D24">
        <w:t>]</w:t>
      </w:r>
      <w:r>
        <w:t>.</w:t>
      </w:r>
      <w:r w:rsidRPr="007C0D24">
        <w:t xml:space="preserve"> </w:t>
      </w:r>
      <w:r>
        <w:t xml:space="preserve">Для этого мы использовали такие показатели, как проникновение активных авторов в социальных сетях среди населения и отношение объема телекоммуникационных услуг (большую часть которых занимает расходы на интернет) на душу населения к среднедушевым доходам. (используя отношение к среднедушевым </w:t>
      </w:r>
      <w:r>
        <w:lastRenderedPageBreak/>
        <w:t>доходам мы нивелируем эффект различия цен на рассматриваемые товары и услуги между регионами).</w:t>
      </w:r>
    </w:p>
    <w:p w14:paraId="0C803C6C" w14:textId="77777777" w:rsidR="00D71B7F" w:rsidRDefault="00D71B7F" w:rsidP="00D71B7F">
      <w:r>
        <w:t>Для гнева мы сохранили подход, представленный ранее, соотнеся этот порок с индикатором насилия, поскольку именно причинение вреда другим людям является следствием неконтролируемого гнева. В качестве показателей была использована статистика по количеству преступлений средней тяжести, так как к ним относится умышленное причинение ущерба, количество з</w:t>
      </w:r>
      <w:r w:rsidRPr="001A3EDC">
        <w:t>арегистрирован</w:t>
      </w:r>
      <w:r>
        <w:t>ных</w:t>
      </w:r>
      <w:r w:rsidRPr="001A3EDC">
        <w:t xml:space="preserve"> убийств и покушений на убийство</w:t>
      </w:r>
      <w:r>
        <w:t xml:space="preserve">, а также умышленное причинение тяжкого вреда здоровью. В качестве переменной, которая может помочь отследить вспышки гнева, свойственные, например для кризисных времен, мы также включили в список переменных показатель количества преступлений, совершенных лицами, ранее преступления не совершавшими. Все показатели были взяты </w:t>
      </w:r>
      <w:proofErr w:type="gramStart"/>
      <w:r>
        <w:t>из расчеты</w:t>
      </w:r>
      <w:proofErr w:type="gramEnd"/>
      <w:r>
        <w:t xml:space="preserve"> на 1000 человек населения. </w:t>
      </w:r>
    </w:p>
    <w:p w14:paraId="2E9AA81E" w14:textId="77777777" w:rsidR="00D71B7F" w:rsidRDefault="00D71B7F" w:rsidP="00D71B7F">
      <w:r>
        <w:t>Похоть мы рассматриваем как и</w:t>
      </w:r>
      <w:r w:rsidRPr="00EC0603">
        <w:t>ндикатор антисемейного благополучия</w:t>
      </w:r>
      <w:r>
        <w:t xml:space="preserve"> и поэтому используем для ее выявления показатели, которые демонстрируют отклонение от традиционных семейных ценностей. Подобранные для рассматриваемого в этом абзаце порока переменные характеризуют отношение к институту брака и семьи в регионе – это например соотношение числа разводов к числу браков, доля детей, родившихся у женщин, не состоявших в браке и соотношение числа абортов к числу родившихся детей – чем выше будут эти показатели, тем выше уровень легкомысленности, с которым жители региона в среднем относятся к семейному благополучию. Помимо этого, были также рассмотрены показатели, характеризирующие нездоровые сексуальные отношения, а именно – количество изнасилований и заболеваемость ВИЧ-инфекцией на 100 тыс. человек населения.</w:t>
      </w:r>
    </w:p>
    <w:p w14:paraId="7E30592B" w14:textId="77777777" w:rsidR="00D71B7F" w:rsidRPr="005F688E" w:rsidRDefault="00D71B7F" w:rsidP="00D71B7F">
      <w:r>
        <w:t xml:space="preserve">Чревоугодие мы определяем как </w:t>
      </w:r>
      <w:r>
        <w:rPr>
          <w:rFonts w:eastAsia="Times New Roman" w:cs="Times New Roman"/>
          <w:szCs w:val="24"/>
        </w:rPr>
        <w:t>и</w:t>
      </w:r>
      <w:r w:rsidRPr="00F22D19">
        <w:rPr>
          <w:rFonts w:eastAsia="Times New Roman" w:cs="Times New Roman"/>
          <w:szCs w:val="24"/>
        </w:rPr>
        <w:t xml:space="preserve">ндикатор </w:t>
      </w:r>
      <w:proofErr w:type="spellStart"/>
      <w:r w:rsidRPr="00F22D19">
        <w:rPr>
          <w:rFonts w:eastAsia="Times New Roman" w:cs="Times New Roman"/>
          <w:szCs w:val="24"/>
        </w:rPr>
        <w:t>аддиктивного</w:t>
      </w:r>
      <w:proofErr w:type="spellEnd"/>
      <w:r w:rsidRPr="00F22D19">
        <w:rPr>
          <w:rFonts w:eastAsia="Times New Roman" w:cs="Times New Roman"/>
          <w:szCs w:val="24"/>
        </w:rPr>
        <w:t xml:space="preserve"> поведения</w:t>
      </w:r>
      <w:r>
        <w:t>, поскольку судить о склонности человека к чревоугодию необходимо не столько по его сиюминутной слабости, сколько по бесконтрольному потаканию своим желаниям вопреки здравому смыслу. Поэтому мы добавили для вычисления синтетического показателя значение обратное уровню ожидаемой продолжительности жизни (чтобы соблюдать логику «чем больше, тем хуже»). Помимо этого, здесь же используется показатель уровня смертности от болезней органов пищеварения, которые как правило возникают из-за неправильного питания, и</w:t>
      </w:r>
      <w:r w:rsidRPr="005F688E">
        <w:t xml:space="preserve"> </w:t>
      </w:r>
      <w:r>
        <w:t xml:space="preserve">показатель ИМТ средний по региону, который показывает на то, присутствует ли проблема лишнего веса в регионе. Также, закрывая вопрос с перееданием, мы учли такой показатель, как соотношение оборота общественного питания (кафе, бары и рестораны) и дохода на душу населения. Не обошли вниманием алкоголь и курение – сразу 4 показателя были включены в расширенный список, связанные с этими пагубными привычками: доля </w:t>
      </w:r>
      <w:r>
        <w:lastRenderedPageBreak/>
        <w:t xml:space="preserve">расходов на алкоголь и сигареты, доля людей с пагубным влиянием алкоголя, доля людей, курящих ежедневно и количество лиц, совершивших преступление в алкогольном опьянении, на 1000 человек населения. </w:t>
      </w:r>
    </w:p>
    <w:p w14:paraId="1FD9B165" w14:textId="77777777" w:rsidR="00D71B7F" w:rsidRDefault="00D71B7F" w:rsidP="00D71B7F">
      <w:r>
        <w:t>Для уныния мы использовали показатели, которые будут отражать индикатор ментального здоровья – в качестве переменных сюда были включены следующие показатели:</w:t>
      </w:r>
    </w:p>
    <w:p w14:paraId="7D774362" w14:textId="77777777" w:rsidR="00D71B7F" w:rsidRDefault="00D71B7F" w:rsidP="00D71B7F">
      <w:pPr>
        <w:ind w:firstLine="0"/>
      </w:pPr>
      <w:r>
        <w:t xml:space="preserve">количество самоубийств (крайняя стадия уныния и отчаяния), количество лиц, совершивших преступления, связанные с оборотом наркотиков (показатель, косвенно отражающий уровень наркозависимости в регионе, склонность к которой является следствием уныния), обратное значения индекса производительности труда относительно 2011 года (учитываем сторону уныния, которая связана с ленью), доля людей, предпочитающих убивать время бездельем или употреблением спиртных напитков вместо хобби и спорта. </w:t>
      </w:r>
    </w:p>
    <w:p w14:paraId="636102AE" w14:textId="77777777" w:rsidR="00D71B7F" w:rsidRDefault="00D71B7F" w:rsidP="00D71B7F">
      <w:r>
        <w:t xml:space="preserve">Гордыня будет определяться как композитный показатель, то есть рассчитанный по значениям всех других показателей. </w:t>
      </w:r>
    </w:p>
    <w:p w14:paraId="1BB0C5A0" w14:textId="77777777" w:rsidR="00D71B7F" w:rsidRDefault="00D71B7F" w:rsidP="00D71B7F">
      <w:r>
        <w:t xml:space="preserve">После отсеивания переменных путем теста на </w:t>
      </w:r>
      <w:proofErr w:type="spellStart"/>
      <w:r>
        <w:t>мультколинеарность</w:t>
      </w:r>
      <w:proofErr w:type="spellEnd"/>
      <w:r>
        <w:t xml:space="preserve"> остались следующие показатели:</w:t>
      </w:r>
    </w:p>
    <w:p w14:paraId="679A3AA1" w14:textId="77777777" w:rsidR="00D71B7F" w:rsidRDefault="00D71B7F" w:rsidP="00D71B7F">
      <w:pPr>
        <w:ind w:firstLine="0"/>
      </w:pPr>
      <w:r>
        <w:t>Таблица 3 –</w:t>
      </w:r>
      <w:r w:rsidRPr="003011D1">
        <w:t xml:space="preserve"> </w:t>
      </w:r>
      <w:r w:rsidRPr="00C67B75">
        <w:t>Определение семи смертных грехов как аспектов благополучия</w:t>
      </w:r>
      <w:r>
        <w:t xml:space="preserve"> для субъектов РФ</w:t>
      </w:r>
    </w:p>
    <w:tbl>
      <w:tblPr>
        <w:tblW w:w="9629" w:type="dxa"/>
        <w:tblLayout w:type="fixed"/>
        <w:tblCellMar>
          <w:left w:w="0" w:type="dxa"/>
          <w:right w:w="0" w:type="dxa"/>
        </w:tblCellMar>
        <w:tblLook w:val="04A0" w:firstRow="1" w:lastRow="0" w:firstColumn="1" w:lastColumn="0" w:noHBand="0" w:noVBand="1"/>
      </w:tblPr>
      <w:tblGrid>
        <w:gridCol w:w="1408"/>
        <w:gridCol w:w="5953"/>
        <w:gridCol w:w="2268"/>
      </w:tblGrid>
      <w:tr w:rsidR="00D71B7F" w:rsidRPr="002C3D1D" w14:paraId="7564C9F1" w14:textId="77777777" w:rsidTr="007D0849">
        <w:trPr>
          <w:trHeight w:val="565"/>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22C81279" w14:textId="77777777" w:rsidR="00D71B7F" w:rsidRPr="002C3D1D" w:rsidRDefault="00D71B7F" w:rsidP="007D0849">
            <w:pPr>
              <w:spacing w:line="240" w:lineRule="auto"/>
              <w:ind w:firstLine="0"/>
              <w:jc w:val="left"/>
              <w:rPr>
                <w:rFonts w:cs="Times New Roman"/>
              </w:rPr>
            </w:pPr>
            <w:r w:rsidRPr="002C3D1D">
              <w:rPr>
                <w:rFonts w:cs="Times New Roman"/>
                <w:b/>
                <w:bCs/>
              </w:rPr>
              <w:t>Грех (на латыни)</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70797995" w14:textId="77777777" w:rsidR="00D71B7F" w:rsidRPr="002C3D1D" w:rsidRDefault="00D71B7F" w:rsidP="007D0849">
            <w:pPr>
              <w:spacing w:line="240" w:lineRule="auto"/>
              <w:ind w:firstLine="0"/>
              <w:jc w:val="left"/>
              <w:rPr>
                <w:rFonts w:cs="Times New Roman"/>
              </w:rPr>
            </w:pPr>
            <w:r w:rsidRPr="002C3D1D">
              <w:rPr>
                <w:rFonts w:cs="Times New Roman"/>
                <w:b/>
                <w:bCs/>
              </w:rPr>
              <w:t>Переменные</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7F3A29DC" w14:textId="77777777" w:rsidR="00D71B7F" w:rsidRPr="002C3D1D" w:rsidRDefault="00D71B7F" w:rsidP="007D0849">
            <w:pPr>
              <w:spacing w:line="240" w:lineRule="auto"/>
              <w:ind w:firstLine="0"/>
              <w:jc w:val="left"/>
              <w:rPr>
                <w:rFonts w:cs="Times New Roman"/>
              </w:rPr>
            </w:pPr>
            <w:r w:rsidRPr="002C3D1D">
              <w:rPr>
                <w:rFonts w:cs="Times New Roman"/>
                <w:b/>
                <w:bCs/>
              </w:rPr>
              <w:t>Индикатор</w:t>
            </w:r>
          </w:p>
        </w:tc>
      </w:tr>
      <w:tr w:rsidR="00D71B7F" w:rsidRPr="002C3D1D" w14:paraId="7F4147C6" w14:textId="77777777" w:rsidTr="007D0849">
        <w:trPr>
          <w:trHeight w:val="1153"/>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36A4077B" w14:textId="77777777" w:rsidR="00D71B7F" w:rsidRPr="002C3D1D" w:rsidRDefault="00D71B7F" w:rsidP="007D0849">
            <w:pPr>
              <w:spacing w:line="240" w:lineRule="auto"/>
              <w:ind w:firstLine="0"/>
              <w:jc w:val="left"/>
              <w:rPr>
                <w:rFonts w:cs="Times New Roman"/>
              </w:rPr>
            </w:pPr>
            <w:r w:rsidRPr="002C3D1D">
              <w:rPr>
                <w:rFonts w:cs="Times New Roman"/>
              </w:rPr>
              <w:t>Жадность (</w:t>
            </w:r>
            <w:proofErr w:type="spellStart"/>
            <w:r w:rsidRPr="002C3D1D">
              <w:rPr>
                <w:rFonts w:cs="Times New Roman"/>
              </w:rPr>
              <w:t>Avaritia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4DBFC6EF" w14:textId="77777777" w:rsidR="00D71B7F" w:rsidRPr="002C3D1D" w:rsidRDefault="00D71B7F" w:rsidP="007D0849">
            <w:pPr>
              <w:spacing w:line="240" w:lineRule="auto"/>
              <w:ind w:firstLine="0"/>
              <w:jc w:val="left"/>
              <w:rPr>
                <w:rFonts w:cs="Times New Roman"/>
              </w:rPr>
            </w:pPr>
            <w:r w:rsidRPr="002C3D1D">
              <w:rPr>
                <w:rFonts w:cs="Times New Roman"/>
                <w:lang w:val="en-US"/>
              </w:rPr>
              <w:t>AVA</w:t>
            </w:r>
            <w:r w:rsidRPr="002C3D1D">
              <w:rPr>
                <w:rFonts w:cs="Times New Roman"/>
              </w:rPr>
              <w:t xml:space="preserve"> 1: </w:t>
            </w:r>
            <w:r w:rsidRPr="00F3288C">
              <w:rPr>
                <w:rFonts w:cs="Times New Roman"/>
              </w:rPr>
              <w:t xml:space="preserve">Доля занятых в </w:t>
            </w:r>
            <w:r>
              <w:rPr>
                <w:rFonts w:cs="Times New Roman"/>
              </w:rPr>
              <w:t>ф</w:t>
            </w:r>
            <w:r w:rsidRPr="00F3288C">
              <w:rPr>
                <w:rFonts w:cs="Times New Roman"/>
              </w:rPr>
              <w:t>инансовой и страховой деятельности</w:t>
            </w:r>
          </w:p>
          <w:p w14:paraId="513FA314" w14:textId="77777777" w:rsidR="00D71B7F" w:rsidRDefault="00D71B7F" w:rsidP="007D0849">
            <w:pPr>
              <w:spacing w:line="240" w:lineRule="auto"/>
              <w:ind w:firstLine="0"/>
              <w:jc w:val="left"/>
              <w:rPr>
                <w:rFonts w:cs="Times New Roman"/>
              </w:rPr>
            </w:pPr>
            <w:r w:rsidRPr="002C3D1D">
              <w:rPr>
                <w:rFonts w:cs="Times New Roman"/>
                <w:lang w:val="en-US"/>
              </w:rPr>
              <w:t>AVA</w:t>
            </w:r>
            <w:r w:rsidRPr="002C3D1D">
              <w:rPr>
                <w:rFonts w:cs="Times New Roman"/>
              </w:rPr>
              <w:t xml:space="preserve"> </w:t>
            </w:r>
            <w:r>
              <w:rPr>
                <w:rFonts w:cs="Times New Roman"/>
              </w:rPr>
              <w:t>2</w:t>
            </w:r>
            <w:r w:rsidRPr="002C3D1D">
              <w:rPr>
                <w:rFonts w:cs="Times New Roman"/>
              </w:rPr>
              <w:t>: Балансовая стоимость внеоборотных и оборотных активов в секторе финансов и безопасности</w:t>
            </w:r>
          </w:p>
          <w:p w14:paraId="11601175" w14:textId="77777777" w:rsidR="00D71B7F" w:rsidRDefault="00D71B7F" w:rsidP="007D0849">
            <w:pPr>
              <w:spacing w:line="240" w:lineRule="auto"/>
              <w:ind w:firstLine="0"/>
              <w:jc w:val="left"/>
              <w:rPr>
                <w:rFonts w:cs="Times New Roman"/>
              </w:rPr>
            </w:pPr>
            <w:r>
              <w:rPr>
                <w:rFonts w:cs="Times New Roman"/>
                <w:lang w:val="en-US"/>
              </w:rPr>
              <w:t>AVA</w:t>
            </w:r>
            <w:r w:rsidRPr="00403F0F">
              <w:rPr>
                <w:rFonts w:cs="Times New Roman"/>
              </w:rPr>
              <w:t xml:space="preserve"> 3: Количество преступлений экономической направленности</w:t>
            </w:r>
          </w:p>
          <w:p w14:paraId="2D8A6B27" w14:textId="77777777" w:rsidR="00D71B7F" w:rsidRPr="00403F0F" w:rsidRDefault="00D71B7F" w:rsidP="007D0849">
            <w:pPr>
              <w:spacing w:line="240" w:lineRule="auto"/>
              <w:ind w:firstLine="0"/>
              <w:jc w:val="left"/>
              <w:rPr>
                <w:rFonts w:cs="Times New Roman"/>
              </w:rPr>
            </w:pPr>
            <w:r>
              <w:rPr>
                <w:rFonts w:cs="Times New Roman"/>
                <w:lang w:val="en-US"/>
              </w:rPr>
              <w:t>AVA</w:t>
            </w:r>
            <w:r w:rsidRPr="00D71B7F">
              <w:rPr>
                <w:rFonts w:cs="Times New Roman"/>
              </w:rPr>
              <w:t xml:space="preserve"> 4: </w:t>
            </w:r>
            <w:r>
              <w:rPr>
                <w:rFonts w:cs="Times New Roman"/>
              </w:rPr>
              <w:t>Количество краж</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323D931B" w14:textId="77777777" w:rsidR="00D71B7F" w:rsidRPr="002C3D1D" w:rsidRDefault="00D71B7F" w:rsidP="007D0849">
            <w:pPr>
              <w:spacing w:line="240" w:lineRule="auto"/>
              <w:ind w:firstLine="0"/>
              <w:jc w:val="left"/>
              <w:rPr>
                <w:rFonts w:cs="Times New Roman"/>
              </w:rPr>
            </w:pPr>
            <w:r w:rsidRPr="002C3D1D">
              <w:rPr>
                <w:rFonts w:cs="Times New Roman"/>
              </w:rPr>
              <w:t>Индикатор неравенства доходов/индикатор концентрации богатства</w:t>
            </w:r>
          </w:p>
        </w:tc>
      </w:tr>
      <w:tr w:rsidR="00D71B7F" w:rsidRPr="002C3D1D" w14:paraId="081751AA" w14:textId="77777777" w:rsidTr="007D0849">
        <w:trPr>
          <w:trHeight w:val="1094"/>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066B7663" w14:textId="77777777" w:rsidR="00D71B7F" w:rsidRPr="002C3D1D" w:rsidRDefault="00D71B7F" w:rsidP="007D0849">
            <w:pPr>
              <w:spacing w:line="240" w:lineRule="auto"/>
              <w:ind w:firstLine="0"/>
              <w:jc w:val="left"/>
              <w:rPr>
                <w:rFonts w:cs="Times New Roman"/>
              </w:rPr>
            </w:pPr>
            <w:r w:rsidRPr="002C3D1D">
              <w:rPr>
                <w:rFonts w:cs="Times New Roman"/>
              </w:rPr>
              <w:t>Зависть (</w:t>
            </w:r>
            <w:proofErr w:type="spellStart"/>
            <w:r w:rsidRPr="002C3D1D">
              <w:rPr>
                <w:rFonts w:cs="Times New Roman"/>
              </w:rPr>
              <w:t>Invidia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63A96664" w14:textId="77777777" w:rsidR="00D71B7F" w:rsidRPr="002C3D1D" w:rsidRDefault="00D71B7F" w:rsidP="007D0849">
            <w:pPr>
              <w:spacing w:line="240" w:lineRule="auto"/>
              <w:ind w:firstLine="0"/>
              <w:jc w:val="left"/>
              <w:rPr>
                <w:rFonts w:cs="Times New Roman"/>
              </w:rPr>
            </w:pPr>
            <w:r w:rsidRPr="002C3D1D">
              <w:rPr>
                <w:rFonts w:cs="Times New Roman"/>
                <w:lang w:val="en-US"/>
              </w:rPr>
              <w:t>INV</w:t>
            </w:r>
            <w:r w:rsidRPr="002C3D1D">
              <w:rPr>
                <w:rFonts w:cs="Times New Roman"/>
              </w:rPr>
              <w:t xml:space="preserve"> 1: </w:t>
            </w:r>
            <w:r w:rsidRPr="00403F0F">
              <w:rPr>
                <w:rFonts w:cs="Times New Roman"/>
              </w:rPr>
              <w:t>Оборот розничной торговли косметикой и одеждой</w:t>
            </w:r>
            <w:r>
              <w:rPr>
                <w:rFonts w:cs="Times New Roman"/>
              </w:rPr>
              <w:t xml:space="preserve"> на душу населения к среднедушевому доходу</w:t>
            </w:r>
          </w:p>
          <w:p w14:paraId="74C9ED88" w14:textId="77777777" w:rsidR="00D71B7F" w:rsidRPr="002C3D1D" w:rsidRDefault="00D71B7F" w:rsidP="007D0849">
            <w:pPr>
              <w:spacing w:line="240" w:lineRule="auto"/>
              <w:ind w:firstLine="0"/>
              <w:jc w:val="left"/>
              <w:rPr>
                <w:rFonts w:cs="Times New Roman"/>
              </w:rPr>
            </w:pPr>
            <w:r w:rsidRPr="002C3D1D">
              <w:rPr>
                <w:rFonts w:cs="Times New Roman"/>
                <w:lang w:val="en-US"/>
              </w:rPr>
              <w:t>INV</w:t>
            </w:r>
            <w:r w:rsidRPr="002C3D1D">
              <w:rPr>
                <w:rFonts w:cs="Times New Roman"/>
              </w:rPr>
              <w:t xml:space="preserve"> 2: </w:t>
            </w:r>
            <w:r>
              <w:rPr>
                <w:rFonts w:cs="Times New Roman"/>
              </w:rPr>
              <w:t>Долговая нагрузка на душу населения к среднедушевому доходу</w:t>
            </w:r>
          </w:p>
          <w:p w14:paraId="01AA6722" w14:textId="77777777" w:rsidR="00D71B7F" w:rsidRPr="002C3D1D" w:rsidRDefault="00D71B7F" w:rsidP="007D0849">
            <w:pPr>
              <w:spacing w:line="240" w:lineRule="auto"/>
              <w:ind w:firstLine="0"/>
              <w:jc w:val="left"/>
              <w:rPr>
                <w:rFonts w:cs="Times New Roman"/>
              </w:rPr>
            </w:pPr>
            <w:r w:rsidRPr="002C3D1D">
              <w:rPr>
                <w:rFonts w:cs="Times New Roman"/>
                <w:lang w:val="en-US"/>
              </w:rPr>
              <w:t>INV</w:t>
            </w:r>
            <w:r w:rsidRPr="002C3D1D">
              <w:rPr>
                <w:rFonts w:cs="Times New Roman"/>
              </w:rPr>
              <w:t xml:space="preserve"> 3: </w:t>
            </w:r>
            <w:r w:rsidRPr="00403F0F">
              <w:rPr>
                <w:rFonts w:cs="Times New Roman"/>
              </w:rPr>
              <w:t>Проникновение авторов в социальных сетях относительно населения</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0143260C" w14:textId="77777777" w:rsidR="00D71B7F" w:rsidRPr="002C3D1D" w:rsidRDefault="00D71B7F" w:rsidP="007D0849">
            <w:pPr>
              <w:spacing w:line="240" w:lineRule="auto"/>
              <w:ind w:firstLine="0"/>
              <w:jc w:val="left"/>
              <w:rPr>
                <w:rFonts w:cs="Times New Roman"/>
              </w:rPr>
            </w:pPr>
            <w:r w:rsidRPr="00DB7706">
              <w:rPr>
                <w:rFonts w:cs="Times New Roman"/>
              </w:rPr>
              <w:t>Индикатор потребительства</w:t>
            </w:r>
          </w:p>
        </w:tc>
      </w:tr>
      <w:tr w:rsidR="00D71B7F" w:rsidRPr="002C3D1D" w14:paraId="1B63702F" w14:textId="77777777" w:rsidTr="007D0849">
        <w:trPr>
          <w:trHeight w:val="1061"/>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01A48CD2" w14:textId="77777777" w:rsidR="00D71B7F" w:rsidRPr="002C3D1D" w:rsidRDefault="00D71B7F" w:rsidP="007D0849">
            <w:pPr>
              <w:spacing w:line="240" w:lineRule="auto"/>
              <w:ind w:firstLine="0"/>
              <w:jc w:val="left"/>
              <w:rPr>
                <w:rFonts w:cs="Times New Roman"/>
              </w:rPr>
            </w:pPr>
            <w:r w:rsidRPr="002C3D1D">
              <w:rPr>
                <w:rFonts w:cs="Times New Roman"/>
              </w:rPr>
              <w:t>Гнев (</w:t>
            </w:r>
            <w:proofErr w:type="spellStart"/>
            <w:r w:rsidRPr="002C3D1D">
              <w:rPr>
                <w:rFonts w:cs="Times New Roman"/>
              </w:rPr>
              <w:t>Ira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20BAFF22" w14:textId="77777777" w:rsidR="00D71B7F" w:rsidRPr="002C3D1D" w:rsidRDefault="00D71B7F" w:rsidP="007D0849">
            <w:pPr>
              <w:spacing w:line="240" w:lineRule="auto"/>
              <w:ind w:firstLine="0"/>
              <w:jc w:val="left"/>
              <w:rPr>
                <w:rFonts w:cs="Times New Roman"/>
              </w:rPr>
            </w:pPr>
            <w:r w:rsidRPr="002C3D1D">
              <w:rPr>
                <w:rFonts w:cs="Times New Roman"/>
                <w:lang w:val="en-US"/>
              </w:rPr>
              <w:t>IRA</w:t>
            </w:r>
            <w:r w:rsidRPr="002C3D1D">
              <w:rPr>
                <w:rFonts w:cs="Times New Roman"/>
              </w:rPr>
              <w:t xml:space="preserve"> 1: </w:t>
            </w:r>
            <w:r w:rsidRPr="00403F0F">
              <w:rPr>
                <w:rFonts w:cs="Times New Roman"/>
              </w:rPr>
              <w:t>Зарегистрировано преступлений по ст. 111 УК РФ - умышленное причинение тяжкого вреда здоровью</w:t>
            </w:r>
          </w:p>
          <w:p w14:paraId="40DA72C8" w14:textId="77777777" w:rsidR="00D71B7F" w:rsidRDefault="00D71B7F" w:rsidP="007D0849">
            <w:pPr>
              <w:spacing w:line="240" w:lineRule="auto"/>
              <w:ind w:firstLine="0"/>
              <w:jc w:val="left"/>
              <w:rPr>
                <w:rFonts w:cs="Times New Roman"/>
              </w:rPr>
            </w:pPr>
            <w:r w:rsidRPr="002C3D1D">
              <w:rPr>
                <w:rFonts w:cs="Times New Roman"/>
                <w:lang w:val="en-US"/>
              </w:rPr>
              <w:t>IRA</w:t>
            </w:r>
            <w:r w:rsidRPr="002C3D1D">
              <w:rPr>
                <w:rFonts w:cs="Times New Roman"/>
              </w:rPr>
              <w:t xml:space="preserve"> 2: </w:t>
            </w:r>
            <w:r w:rsidRPr="00403F0F">
              <w:rPr>
                <w:rFonts w:cs="Times New Roman"/>
              </w:rPr>
              <w:t>Доля лиц, совершивших преступление, не совершавших его ранее</w:t>
            </w:r>
          </w:p>
          <w:p w14:paraId="1772395A" w14:textId="77777777" w:rsidR="00D71B7F" w:rsidRPr="00403F0F" w:rsidRDefault="00D71B7F" w:rsidP="007D0849">
            <w:pPr>
              <w:spacing w:line="240" w:lineRule="auto"/>
              <w:ind w:firstLine="0"/>
              <w:jc w:val="left"/>
              <w:rPr>
                <w:rFonts w:cs="Times New Roman"/>
              </w:rPr>
            </w:pPr>
            <w:r>
              <w:rPr>
                <w:rFonts w:cs="Times New Roman"/>
                <w:lang w:val="en-US"/>
              </w:rPr>
              <w:t>IRA</w:t>
            </w:r>
            <w:r w:rsidRPr="00403F0F">
              <w:rPr>
                <w:rFonts w:cs="Times New Roman"/>
              </w:rPr>
              <w:t xml:space="preserve"> 3: Зарегистрировано преступлений средней тяжести</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140EEB3E" w14:textId="77777777" w:rsidR="00D71B7F" w:rsidRPr="002C3D1D" w:rsidRDefault="00D71B7F" w:rsidP="007D0849">
            <w:pPr>
              <w:spacing w:line="240" w:lineRule="auto"/>
              <w:ind w:firstLine="0"/>
              <w:jc w:val="left"/>
              <w:rPr>
                <w:rFonts w:cs="Times New Roman"/>
              </w:rPr>
            </w:pPr>
            <w:r w:rsidRPr="002C3D1D">
              <w:rPr>
                <w:rFonts w:cs="Times New Roman"/>
              </w:rPr>
              <w:t>Индикатор насилия</w:t>
            </w:r>
          </w:p>
        </w:tc>
      </w:tr>
      <w:tr w:rsidR="00D71B7F" w:rsidRPr="002C3D1D" w14:paraId="79DA24A7" w14:textId="77777777" w:rsidTr="007D0849">
        <w:trPr>
          <w:trHeight w:val="1487"/>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50D37990" w14:textId="77777777" w:rsidR="00D71B7F" w:rsidRPr="002C3D1D" w:rsidRDefault="00D71B7F" w:rsidP="007D0849">
            <w:pPr>
              <w:spacing w:line="240" w:lineRule="auto"/>
              <w:ind w:firstLine="0"/>
              <w:jc w:val="left"/>
              <w:rPr>
                <w:rFonts w:cs="Times New Roman"/>
              </w:rPr>
            </w:pPr>
            <w:r w:rsidRPr="002C3D1D">
              <w:rPr>
                <w:rFonts w:cs="Times New Roman"/>
              </w:rPr>
              <w:lastRenderedPageBreak/>
              <w:t>Похоть (</w:t>
            </w:r>
            <w:proofErr w:type="spellStart"/>
            <w:r w:rsidRPr="002C3D1D">
              <w:rPr>
                <w:rFonts w:cs="Times New Roman"/>
              </w:rPr>
              <w:t>Luxuria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5BEB75E2" w14:textId="77777777" w:rsidR="00D71B7F" w:rsidRPr="002C3D1D" w:rsidRDefault="00D71B7F" w:rsidP="007D0849">
            <w:pPr>
              <w:spacing w:line="240" w:lineRule="auto"/>
              <w:ind w:firstLine="0"/>
              <w:jc w:val="left"/>
              <w:rPr>
                <w:rFonts w:cs="Times New Roman"/>
              </w:rPr>
            </w:pPr>
            <w:r w:rsidRPr="002C3D1D">
              <w:rPr>
                <w:rFonts w:cs="Times New Roman"/>
              </w:rPr>
              <w:t xml:space="preserve">LUJ 1: </w:t>
            </w:r>
            <w:r w:rsidRPr="00403F0F">
              <w:rPr>
                <w:rFonts w:cs="Times New Roman"/>
              </w:rPr>
              <w:t>Соотношение разводов к бракам за год</w:t>
            </w:r>
          </w:p>
          <w:p w14:paraId="73164081" w14:textId="77777777" w:rsidR="00D71B7F" w:rsidRPr="00403F0F" w:rsidRDefault="00D71B7F" w:rsidP="007D0849">
            <w:pPr>
              <w:spacing w:line="240" w:lineRule="auto"/>
              <w:ind w:firstLine="0"/>
              <w:jc w:val="left"/>
              <w:rPr>
                <w:rFonts w:cs="Times New Roman"/>
              </w:rPr>
            </w:pPr>
            <w:r w:rsidRPr="002C3D1D">
              <w:rPr>
                <w:rFonts w:cs="Times New Roman"/>
              </w:rPr>
              <w:t xml:space="preserve">LUJ 2: </w:t>
            </w:r>
            <w:r>
              <w:rPr>
                <w:rFonts w:cs="Times New Roman"/>
              </w:rPr>
              <w:t>Количество изнасилований на 1000 чел. населения</w:t>
            </w:r>
          </w:p>
          <w:p w14:paraId="37B59A29" w14:textId="77777777" w:rsidR="00D71B7F" w:rsidRPr="002C3D1D" w:rsidRDefault="00D71B7F" w:rsidP="007D0849">
            <w:pPr>
              <w:spacing w:line="240" w:lineRule="auto"/>
              <w:ind w:firstLine="0"/>
              <w:jc w:val="left"/>
              <w:rPr>
                <w:rFonts w:cs="Times New Roman"/>
              </w:rPr>
            </w:pPr>
            <w:r w:rsidRPr="002C3D1D">
              <w:rPr>
                <w:rFonts w:cs="Times New Roman"/>
              </w:rPr>
              <w:t xml:space="preserve">LUJ 3: </w:t>
            </w:r>
            <w:r w:rsidRPr="00403F0F">
              <w:rPr>
                <w:rFonts w:cs="Times New Roman"/>
              </w:rPr>
              <w:t>Заболеваемость с впервые в жизни установленным диагнозом ВИЧ-инфекции на 100 тыс. человек населения</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4CE7F621" w14:textId="77777777" w:rsidR="00D71B7F" w:rsidRPr="002C3D1D" w:rsidRDefault="00D71B7F" w:rsidP="007D0849">
            <w:pPr>
              <w:spacing w:line="240" w:lineRule="auto"/>
              <w:ind w:firstLine="0"/>
              <w:jc w:val="left"/>
              <w:rPr>
                <w:rFonts w:cs="Times New Roman"/>
              </w:rPr>
            </w:pPr>
            <w:r>
              <w:rPr>
                <w:rFonts w:eastAsia="Times New Roman" w:cs="Times New Roman"/>
                <w:szCs w:val="24"/>
              </w:rPr>
              <w:t>И</w:t>
            </w:r>
            <w:r w:rsidRPr="00F22D19">
              <w:rPr>
                <w:rFonts w:eastAsia="Times New Roman" w:cs="Times New Roman"/>
                <w:szCs w:val="24"/>
              </w:rPr>
              <w:t xml:space="preserve">ндикатор </w:t>
            </w:r>
            <w:r>
              <w:rPr>
                <w:rFonts w:eastAsia="Times New Roman" w:cs="Times New Roman"/>
                <w:szCs w:val="24"/>
              </w:rPr>
              <w:t>анти</w:t>
            </w:r>
            <w:r w:rsidRPr="00F22D19">
              <w:rPr>
                <w:rFonts w:eastAsia="Times New Roman" w:cs="Times New Roman"/>
                <w:szCs w:val="24"/>
              </w:rPr>
              <w:t>семейного благополучия</w:t>
            </w:r>
          </w:p>
        </w:tc>
      </w:tr>
      <w:tr w:rsidR="00D71B7F" w:rsidRPr="002C3D1D" w14:paraId="16EAAF03" w14:textId="77777777" w:rsidTr="007D0849">
        <w:trPr>
          <w:trHeight w:val="795"/>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40BD249C" w14:textId="77777777" w:rsidR="00D71B7F" w:rsidRPr="002C3D1D" w:rsidRDefault="00D71B7F" w:rsidP="007D0849">
            <w:pPr>
              <w:spacing w:line="240" w:lineRule="auto"/>
              <w:ind w:firstLine="0"/>
              <w:jc w:val="left"/>
              <w:rPr>
                <w:rFonts w:cs="Times New Roman"/>
              </w:rPr>
            </w:pPr>
            <w:r w:rsidRPr="002C3D1D">
              <w:rPr>
                <w:rFonts w:cs="Times New Roman"/>
              </w:rPr>
              <w:t>Чревоугодие (</w:t>
            </w:r>
            <w:proofErr w:type="spellStart"/>
            <w:r w:rsidRPr="002C3D1D">
              <w:rPr>
                <w:rFonts w:cs="Times New Roman"/>
              </w:rPr>
              <w:t>Gula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33325DF2" w14:textId="77777777" w:rsidR="00D71B7F" w:rsidRPr="002C3D1D" w:rsidRDefault="00D71B7F" w:rsidP="007D0849">
            <w:pPr>
              <w:spacing w:line="240" w:lineRule="auto"/>
              <w:ind w:firstLine="0"/>
              <w:jc w:val="left"/>
              <w:rPr>
                <w:rFonts w:cs="Times New Roman"/>
              </w:rPr>
            </w:pPr>
            <w:r w:rsidRPr="002C3D1D">
              <w:rPr>
                <w:rFonts w:cs="Times New Roman"/>
                <w:lang w:val="en-US"/>
              </w:rPr>
              <w:t>GUL</w:t>
            </w:r>
            <w:r w:rsidRPr="002C3D1D">
              <w:rPr>
                <w:rFonts w:cs="Times New Roman"/>
              </w:rPr>
              <w:t xml:space="preserve"> 1: </w:t>
            </w:r>
            <w:r w:rsidRPr="00403F0F">
              <w:rPr>
                <w:rFonts w:cs="Times New Roman"/>
              </w:rPr>
              <w:t xml:space="preserve">Оборот </w:t>
            </w:r>
            <w:r>
              <w:rPr>
                <w:rFonts w:cs="Times New Roman"/>
              </w:rPr>
              <w:t>общественного питания на душу населения к среднедушевому доходу</w:t>
            </w:r>
          </w:p>
          <w:p w14:paraId="2E4AEE9F" w14:textId="77777777" w:rsidR="00D71B7F" w:rsidRPr="002C3D1D" w:rsidRDefault="00D71B7F" w:rsidP="007D0849">
            <w:pPr>
              <w:spacing w:line="240" w:lineRule="auto"/>
              <w:ind w:firstLine="0"/>
              <w:jc w:val="left"/>
              <w:rPr>
                <w:rFonts w:cs="Times New Roman"/>
              </w:rPr>
            </w:pPr>
            <w:r w:rsidRPr="002C3D1D">
              <w:rPr>
                <w:rFonts w:cs="Times New Roman"/>
                <w:lang w:val="en-US"/>
              </w:rPr>
              <w:t>GUL</w:t>
            </w:r>
            <w:r w:rsidRPr="002C3D1D">
              <w:rPr>
                <w:rFonts w:cs="Times New Roman"/>
              </w:rPr>
              <w:t xml:space="preserve"> 2: Общий коэффициент смертности от болезней органов пищеварения</w:t>
            </w:r>
          </w:p>
          <w:p w14:paraId="0BB11E36" w14:textId="77777777" w:rsidR="00D71B7F" w:rsidRDefault="00D71B7F" w:rsidP="007D0849">
            <w:pPr>
              <w:spacing w:line="240" w:lineRule="auto"/>
              <w:ind w:firstLine="0"/>
              <w:jc w:val="left"/>
              <w:rPr>
                <w:rFonts w:cs="Times New Roman"/>
              </w:rPr>
            </w:pPr>
            <w:r w:rsidRPr="002C3D1D">
              <w:rPr>
                <w:rFonts w:cs="Times New Roman"/>
                <w:lang w:val="en-US"/>
              </w:rPr>
              <w:t>GUL</w:t>
            </w:r>
            <w:r w:rsidRPr="002C3D1D">
              <w:rPr>
                <w:rFonts w:cs="Times New Roman"/>
              </w:rPr>
              <w:t xml:space="preserve"> 3: </w:t>
            </w:r>
            <w:r w:rsidRPr="00403F0F">
              <w:rPr>
                <w:rFonts w:cs="Times New Roman"/>
              </w:rPr>
              <w:t>Доля людей с пагубным влиянием алкоголя</w:t>
            </w:r>
          </w:p>
          <w:p w14:paraId="24E0A5EE" w14:textId="77777777" w:rsidR="00D71B7F" w:rsidRPr="00403F0F" w:rsidRDefault="00D71B7F" w:rsidP="007D0849">
            <w:pPr>
              <w:spacing w:line="240" w:lineRule="auto"/>
              <w:ind w:firstLine="0"/>
              <w:jc w:val="left"/>
              <w:rPr>
                <w:rFonts w:cs="Times New Roman"/>
              </w:rPr>
            </w:pPr>
            <w:r>
              <w:rPr>
                <w:rFonts w:cs="Times New Roman"/>
                <w:lang w:val="en-US"/>
              </w:rPr>
              <w:t>GUL</w:t>
            </w:r>
            <w:r w:rsidRPr="00403F0F">
              <w:rPr>
                <w:rFonts w:cs="Times New Roman"/>
              </w:rPr>
              <w:t xml:space="preserve"> 4: Выявлено лиц, совершивших преступления в состоянии алкогольного опьянения</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594A6AA9" w14:textId="77777777" w:rsidR="00D71B7F" w:rsidRPr="002C3D1D" w:rsidRDefault="00D71B7F" w:rsidP="007D0849">
            <w:pPr>
              <w:spacing w:line="240" w:lineRule="auto"/>
              <w:ind w:firstLine="0"/>
              <w:jc w:val="left"/>
              <w:rPr>
                <w:rFonts w:cs="Times New Roman"/>
              </w:rPr>
            </w:pPr>
            <w:r>
              <w:rPr>
                <w:rFonts w:eastAsia="Times New Roman" w:cs="Times New Roman"/>
                <w:szCs w:val="24"/>
              </w:rPr>
              <w:t>И</w:t>
            </w:r>
            <w:r w:rsidRPr="00F22D19">
              <w:rPr>
                <w:rFonts w:eastAsia="Times New Roman" w:cs="Times New Roman"/>
                <w:szCs w:val="24"/>
              </w:rPr>
              <w:t xml:space="preserve">ндикатор </w:t>
            </w:r>
            <w:proofErr w:type="spellStart"/>
            <w:r w:rsidRPr="00F22D19">
              <w:rPr>
                <w:rFonts w:eastAsia="Times New Roman" w:cs="Times New Roman"/>
                <w:szCs w:val="24"/>
              </w:rPr>
              <w:t>аддиктивного</w:t>
            </w:r>
            <w:proofErr w:type="spellEnd"/>
            <w:r w:rsidRPr="00F22D19">
              <w:rPr>
                <w:rFonts w:eastAsia="Times New Roman" w:cs="Times New Roman"/>
                <w:szCs w:val="24"/>
              </w:rPr>
              <w:t xml:space="preserve"> поведения</w:t>
            </w:r>
          </w:p>
        </w:tc>
      </w:tr>
      <w:tr w:rsidR="00D71B7F" w:rsidRPr="002C3D1D" w14:paraId="000CA4A5" w14:textId="77777777" w:rsidTr="007D0849">
        <w:trPr>
          <w:trHeight w:val="1061"/>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4448C2DB" w14:textId="77777777" w:rsidR="00D71B7F" w:rsidRPr="002C3D1D" w:rsidRDefault="00D71B7F" w:rsidP="007D0849">
            <w:pPr>
              <w:spacing w:line="240" w:lineRule="auto"/>
              <w:ind w:firstLine="0"/>
              <w:jc w:val="left"/>
              <w:rPr>
                <w:rFonts w:cs="Times New Roman"/>
              </w:rPr>
            </w:pPr>
            <w:r w:rsidRPr="002C3D1D">
              <w:rPr>
                <w:rFonts w:cs="Times New Roman"/>
              </w:rPr>
              <w:t>Уныние (</w:t>
            </w:r>
            <w:proofErr w:type="spellStart"/>
            <w:r w:rsidRPr="002C3D1D">
              <w:rPr>
                <w:rFonts w:cs="Times New Roman"/>
              </w:rPr>
              <w:t>Desidia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36683150" w14:textId="77777777" w:rsidR="00D71B7F" w:rsidRPr="002C3D1D" w:rsidRDefault="00D71B7F" w:rsidP="007D0849">
            <w:pPr>
              <w:spacing w:line="240" w:lineRule="auto"/>
              <w:ind w:firstLine="0"/>
              <w:jc w:val="left"/>
              <w:rPr>
                <w:rFonts w:cs="Times New Roman"/>
              </w:rPr>
            </w:pPr>
            <w:r w:rsidRPr="002C3D1D">
              <w:rPr>
                <w:rFonts w:cs="Times New Roman"/>
                <w:lang w:val="en-US"/>
              </w:rPr>
              <w:t>DES</w:t>
            </w:r>
            <w:r w:rsidRPr="002C3D1D">
              <w:rPr>
                <w:rFonts w:cs="Times New Roman"/>
              </w:rPr>
              <w:t xml:space="preserve"> 1: Число зарегистрированных самоубийств на 100 тыс. населения, 2020 г.</w:t>
            </w:r>
          </w:p>
          <w:p w14:paraId="5638972A" w14:textId="77777777" w:rsidR="00D71B7F" w:rsidRDefault="00D71B7F" w:rsidP="007D0849">
            <w:pPr>
              <w:spacing w:line="240" w:lineRule="auto"/>
              <w:ind w:firstLine="0"/>
              <w:jc w:val="left"/>
              <w:rPr>
                <w:rFonts w:cs="Times New Roman"/>
              </w:rPr>
            </w:pPr>
            <w:r w:rsidRPr="002C3D1D">
              <w:rPr>
                <w:rFonts w:cs="Times New Roman"/>
                <w:lang w:val="en-US"/>
              </w:rPr>
              <w:t>DES</w:t>
            </w:r>
            <w:r w:rsidRPr="002C3D1D">
              <w:rPr>
                <w:rFonts w:cs="Times New Roman"/>
              </w:rPr>
              <w:t xml:space="preserve"> 2: </w:t>
            </w:r>
            <w:r w:rsidRPr="00403F0F">
              <w:rPr>
                <w:rFonts w:cs="Times New Roman"/>
              </w:rPr>
              <w:t>Выявлено лиц, совершивших преступления, связанных с незаконным оборотом наркотиков</w:t>
            </w:r>
          </w:p>
          <w:p w14:paraId="540BFC93" w14:textId="77777777" w:rsidR="00D71B7F" w:rsidRPr="00403F0F" w:rsidRDefault="00D71B7F" w:rsidP="007D0849">
            <w:pPr>
              <w:spacing w:line="240" w:lineRule="auto"/>
              <w:ind w:firstLine="0"/>
              <w:jc w:val="left"/>
              <w:rPr>
                <w:rFonts w:cs="Times New Roman"/>
              </w:rPr>
            </w:pPr>
            <w:r>
              <w:rPr>
                <w:rFonts w:cs="Times New Roman"/>
                <w:lang w:val="en-US"/>
              </w:rPr>
              <w:t>DES</w:t>
            </w:r>
            <w:r w:rsidRPr="00403F0F">
              <w:rPr>
                <w:rFonts w:cs="Times New Roman"/>
              </w:rPr>
              <w:t xml:space="preserve"> 3: Доля людей "Расслабляюсь, выпиваю"</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14:paraId="6AE576D4" w14:textId="77777777" w:rsidR="00D71B7F" w:rsidRPr="002C3D1D" w:rsidRDefault="00D71B7F" w:rsidP="007D0849">
            <w:pPr>
              <w:spacing w:line="240" w:lineRule="auto"/>
              <w:ind w:firstLine="0"/>
              <w:jc w:val="left"/>
              <w:rPr>
                <w:rFonts w:cs="Times New Roman"/>
              </w:rPr>
            </w:pPr>
            <w:r>
              <w:t>Индикатор ментального здоровья</w:t>
            </w:r>
          </w:p>
        </w:tc>
      </w:tr>
      <w:tr w:rsidR="00D71B7F" w:rsidRPr="002C3D1D" w14:paraId="09E58FFA" w14:textId="77777777" w:rsidTr="007D0849">
        <w:trPr>
          <w:trHeight w:val="761"/>
        </w:trPr>
        <w:tc>
          <w:tcPr>
            <w:tcW w:w="140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00150AB6" w14:textId="77777777" w:rsidR="00D71B7F" w:rsidRPr="002C3D1D" w:rsidRDefault="00D71B7F" w:rsidP="007D0849">
            <w:pPr>
              <w:spacing w:line="240" w:lineRule="auto"/>
              <w:ind w:firstLine="0"/>
              <w:jc w:val="left"/>
              <w:rPr>
                <w:rFonts w:cs="Times New Roman"/>
              </w:rPr>
            </w:pPr>
            <w:r w:rsidRPr="002C3D1D">
              <w:rPr>
                <w:rFonts w:cs="Times New Roman"/>
              </w:rPr>
              <w:t>Гордыня (</w:t>
            </w:r>
            <w:proofErr w:type="spellStart"/>
            <w:r w:rsidRPr="002C3D1D">
              <w:rPr>
                <w:rFonts w:cs="Times New Roman"/>
              </w:rPr>
              <w:t>Superbia</w:t>
            </w:r>
            <w:proofErr w:type="spellEnd"/>
            <w:r w:rsidRPr="002C3D1D">
              <w:rPr>
                <w:rFonts w:cs="Times New Roman"/>
              </w:rPr>
              <w:t>)</w:t>
            </w:r>
          </w:p>
        </w:tc>
        <w:tc>
          <w:tcPr>
            <w:tcW w:w="5953"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4248A782" w14:textId="77777777" w:rsidR="00D71B7F" w:rsidRPr="002C3D1D" w:rsidRDefault="00D71B7F" w:rsidP="007D0849">
            <w:pPr>
              <w:spacing w:line="240" w:lineRule="auto"/>
              <w:ind w:firstLine="0"/>
              <w:jc w:val="left"/>
              <w:rPr>
                <w:rFonts w:cs="Times New Roman"/>
              </w:rPr>
            </w:pPr>
            <w:r w:rsidRPr="002C3D1D">
              <w:rPr>
                <w:rFonts w:cs="Times New Roman"/>
              </w:rPr>
              <w:t>Считается, что это источник других смертных грехов, и поэтому мы рассматриваем это измерение как синтетический показатель предыдущих пороков.</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14:paraId="784F00FB" w14:textId="77777777" w:rsidR="00D71B7F" w:rsidRPr="002C3D1D" w:rsidRDefault="00D71B7F" w:rsidP="007D0849">
            <w:pPr>
              <w:spacing w:line="240" w:lineRule="auto"/>
              <w:ind w:firstLine="0"/>
              <w:jc w:val="left"/>
              <w:rPr>
                <w:rFonts w:cs="Times New Roman"/>
              </w:rPr>
            </w:pPr>
            <w:r w:rsidRPr="002C3D1D">
              <w:rPr>
                <w:rFonts w:cs="Times New Roman"/>
              </w:rPr>
              <w:t>Композитный показатель благополучия/качества жизни</w:t>
            </w:r>
          </w:p>
        </w:tc>
      </w:tr>
    </w:tbl>
    <w:p w14:paraId="46D127C9" w14:textId="77777777" w:rsidR="00D71B7F" w:rsidRPr="00C67B75" w:rsidRDefault="00D71B7F" w:rsidP="00D71B7F">
      <w:pPr>
        <w:ind w:firstLine="0"/>
      </w:pPr>
      <w:r>
        <w:t>Источник: Составлено автором</w:t>
      </w:r>
    </w:p>
    <w:p w14:paraId="60F02C2D" w14:textId="77777777" w:rsidR="00D71B7F" w:rsidRDefault="00D71B7F" w:rsidP="00D71B7F">
      <w:pPr>
        <w:ind w:firstLine="0"/>
      </w:pPr>
      <w:r>
        <w:tab/>
        <w:t xml:space="preserve"> </w:t>
      </w:r>
    </w:p>
    <w:p w14:paraId="37BDEE77" w14:textId="78DB923C" w:rsidR="00151909" w:rsidRDefault="00D71B7F" w:rsidP="00D71B7F">
      <w:r>
        <w:t xml:space="preserve">Перед построением индикаторов была проведена нормализация всех переменных по минимаксному методу, который также применяется при построении широко известного в научном мире индекса человеческого развития </w:t>
      </w:r>
      <w:r w:rsidRPr="00D026BF">
        <w:t>[</w:t>
      </w:r>
      <w:proofErr w:type="spellStart"/>
      <w:r w:rsidRPr="00D026BF">
        <w:t>Herrero-Prieto</w:t>
      </w:r>
      <w:proofErr w:type="spellEnd"/>
      <w:r w:rsidRPr="00D026BF">
        <w:t xml:space="preserve"> </w:t>
      </w:r>
      <w:proofErr w:type="spellStart"/>
      <w:r w:rsidRPr="00D026BF">
        <w:t>and</w:t>
      </w:r>
      <w:proofErr w:type="spellEnd"/>
      <w:r w:rsidRPr="00D026BF">
        <w:t xml:space="preserve"> </w:t>
      </w:r>
      <w:proofErr w:type="spellStart"/>
      <w:r w:rsidRPr="00D026BF">
        <w:t>others</w:t>
      </w:r>
      <w:proofErr w:type="spellEnd"/>
      <w:r w:rsidRPr="00D026BF">
        <w:t>, 2019]</w:t>
      </w:r>
      <w:r>
        <w:t>. Индикаторы были посчитаны как среднее геометрическое переменных, которые соответствуют тому греху, к которому этот индикатор относится. Для гордыни, то есть показателя качества жизни в целом мы взяли среднее геометрическое всех других индикаторов.</w:t>
      </w:r>
    </w:p>
    <w:sectPr w:rsidR="00151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7F"/>
    <w:rsid w:val="00151909"/>
    <w:rsid w:val="00D71B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259"/>
  <w15:chartTrackingRefBased/>
  <w15:docId w15:val="{DC307A39-FAE3-472F-A1C6-EA0ED843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B7F"/>
    <w:pPr>
      <w:spacing w:after="0" w:line="360" w:lineRule="auto"/>
      <w:ind w:firstLine="709"/>
      <w:jc w:val="both"/>
    </w:pPr>
    <w:rPr>
      <w:rFonts w:ascii="Times New Roman" w:eastAsiaTheme="minorEastAsia" w:hAnsi="Times New Roman"/>
      <w:sz w:val="24"/>
      <w:lang w:eastAsia="ru-RU"/>
    </w:rPr>
  </w:style>
  <w:style w:type="paragraph" w:styleId="1">
    <w:name w:val="heading 1"/>
    <w:next w:val="a"/>
    <w:link w:val="10"/>
    <w:autoRedefine/>
    <w:uiPriority w:val="9"/>
    <w:qFormat/>
    <w:rsid w:val="00D71B7F"/>
    <w:pPr>
      <w:keepNext/>
      <w:keepLines/>
      <w:spacing w:before="120" w:after="120" w:line="360" w:lineRule="auto"/>
      <w:jc w:val="center"/>
      <w:outlineLvl w:val="0"/>
    </w:pPr>
    <w:rPr>
      <w:rFonts w:ascii="Times New Roman" w:eastAsia="Times New Roman" w:hAnsi="Times New Roman" w:cstheme="majorBidi"/>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B7F"/>
    <w:rPr>
      <w:rFonts w:ascii="Times New Roman" w:eastAsia="Times New Roman" w:hAnsi="Times New Roman" w:cstheme="majorBidi"/>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Погорелко</dc:creator>
  <cp:keywords/>
  <dc:description/>
  <cp:lastModifiedBy>Дмитрий Погорелко</cp:lastModifiedBy>
  <cp:revision>1</cp:revision>
  <dcterms:created xsi:type="dcterms:W3CDTF">2024-04-15T02:20:00Z</dcterms:created>
  <dcterms:modified xsi:type="dcterms:W3CDTF">2024-04-15T02:20:00Z</dcterms:modified>
</cp:coreProperties>
</file>