
<file path=[Content_Types].xml><?xml version="1.0" encoding="utf-8"?>
<Types xmlns="http://schemas.openxmlformats.org/package/2006/content-types">
  <Default Extension="xml" ContentType="application/xml"/>
  <Default Extension="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1" Type="http://schemas.openxmlformats.org/package/2006/relationships/metadata/core-properties" Target="docProps/core.xml" /><Relationship Id="rId0" Type="http://schemas.openxmlformats.org/officeDocument/2006/relationships/officeDocument" Target="word/document.xml" /></Relationships>
</file>

<file path=word/document.xml><?xml version="1.0" encoding="utf-8"?>
<w:document xmlns:r="http://schemas.openxmlformats.org/officeDocument/2006/relationships" xmlns:w="http://schemas.openxmlformats.org/wordprocessingml/2006/main">
  <w:body>
    <w:p>
      <w:pPr>
        <w:spacing w:before="1400"/>
        <w:jc w:val="center"/>
      </w:pPr>
      <w:r>
        <w:rPr>
          <w:rFonts w:ascii="Noto Sans CJK SC" w:hAnsi="Noto Sans CJK SC" w:eastAsia="Noto Sans CJK SC"/>
          <w:b w:val="1"/>
          <w:color w:val="1F4E78"/>
          <w:sz w:val="54"/>
        </w:rPr>
        <w:t>DramaX</w:t>
      </w:r>
    </w:p>
    <w:p>
      <w:pPr>
        <w:spacing w:after="360"/>
        <w:jc w:val="center"/>
      </w:pPr>
      <w:r>
        <w:rPr>
          <w:rFonts w:hint="eastAsia" w:ascii="Noto Sans CJK SC" w:hAnsi="Noto Sans CJK SC" w:eastAsia="Noto Sans CJK SC"/>
          <w:b w:val="1"/>
          <w:color w:val="2F75B5"/>
          <w:sz w:val="42"/>
        </w:rPr>
        <w:t>完整业务逻辑与经济模型说明</w:t>
      </w:r>
    </w:p>
    <w:p>
      <w:pPr>
        <w:jc w:val="center"/>
      </w:pPr>
      <w:r>
        <w:rPr>
          <w:rFonts w:hint="eastAsia" w:ascii="Noto Sans CJK SC" w:hAnsi="Noto Sans CJK SC" w:eastAsia="Noto Sans CJK SC"/>
          <w:b w:val="0"/>
          <w:color w:val="666666"/>
          <w:sz w:val="21"/>
        </w:rPr>
        <w:t>普通区 / 创新区 · Drama</w:t>
      </w:r>
      <w:r>
        <w:rPr>
          <w:rFonts w:hint="eastAsia" w:ascii="Noto Sans CJK SC" w:hAnsi="Noto Sans CJK SC" w:eastAsia="Noto Sans CJK SC"/>
          <w:b w:val="0"/>
          <w:color w:val="666666"/>
          <w:sz w:val="21"/>
        </w:rPr>
        <w:t xml:space="preserve"> · 资产积分 · GIP · 10代代理返佣 · P2P短剧剧本交易</w:t>
      </w:r>
    </w:p>
    <w:tbl>
      <w:tblPr>
        <w:tblW w:w="0" w:type="auto"/>
        <w:jc w:val="center"/>
        <w:tblLayout w:type="fixed"/>
        <w:tblLook w:firstRow="1" w:lastRow="0" w:firstColumn="1" w:lastColumn="0" w:noHBand="0" w:noVBand="1" w:val="04A0"/>
      </w:tblPr>
      <w:tblGrid>
        <w:gridCol w:w="5083"/>
        <w:gridCol w:w="5083"/>
      </w:tblGrid>
      <w:tr>
        <w:trPr/>
        <w:tc>
          <w:tcPr>
            <w:tcW w:w="2304" w:type="dxa"/>
            <w:shd w:fill="EAF2F8"/>
            <w:tcMar>
              <w:top w:w="110" w:type="dxa"/>
              <w:left w:w="130" w:type="dxa"/>
              <w:bottom w:w="110" w:type="dxa"/>
              <w:right w:w="130" w:type="dxa"/>
            </w:tcMar>
            <w:vAlign w:val="center"/>
          </w:tcPr>
          <w:p>
            <w:pPr>
              <w:jc w:val="center"/>
            </w:pPr>
            <w:r>
              <w:rPr>
                <w:rFonts w:hint="eastAsia" w:ascii="Noto Sans CJK SC" w:hAnsi="Noto Sans CJK SC" w:eastAsia="Noto Sans CJK SC"/>
                <w:b w:val="1"/>
                <w:color w:val="1F4E78"/>
                <w:sz w:val="18"/>
              </w:rPr>
              <w:t>文档版本</w:t>
            </w:r>
          </w:p>
        </w:tc>
        <w:tc>
          <w:tcPr>
            <w:tcW w:w="7056" w:type="dxa"/>
            <w:tcMar>
              <w:top w:w="110" w:type="dxa"/>
              <w:left w:w="130" w:type="dxa"/>
              <w:bottom w:w="110" w:type="dxa"/>
              <w:right w:w="130" w:type="dxa"/>
            </w:tcMar>
            <w:vAlign w:val="center"/>
          </w:tcPr>
          <w:p>
            <w:r>
              <w:rPr>
                <w:rFonts w:ascii="Noto Sans CJK SC" w:hAnsi="Noto Sans CJK SC" w:eastAsia="Noto Sans CJK SC"/>
                <w:b w:val="0"/>
                <w:sz w:val="18"/>
              </w:rPr>
              <w:t>V2.0</w:t>
            </w:r>
          </w:p>
        </w:tc>
      </w:tr>
      <w:tr>
        <w:trPr/>
        <w:tc>
          <w:tcPr>
            <w:tcW w:w="2304" w:type="dxa"/>
            <w:shd w:fill="EAF2F8"/>
            <w:tcMar>
              <w:top w:w="110" w:type="dxa"/>
              <w:left w:w="130" w:type="dxa"/>
              <w:bottom w:w="110" w:type="dxa"/>
              <w:right w:w="130" w:type="dxa"/>
            </w:tcMar>
            <w:vAlign w:val="center"/>
          </w:tcPr>
          <w:p>
            <w:pPr>
              <w:jc w:val="center"/>
            </w:pPr>
            <w:r>
              <w:rPr>
                <w:rFonts w:hint="eastAsia" w:ascii="Noto Sans CJK SC" w:hAnsi="Noto Sans CJK SC" w:eastAsia="Noto Sans CJK SC"/>
                <w:b w:val="1"/>
                <w:color w:val="1F4E78"/>
                <w:sz w:val="18"/>
              </w:rPr>
              <w:t>整理日期</w:t>
            </w:r>
          </w:p>
        </w:tc>
        <w:tc>
          <w:tcPr>
            <w:tcW w:w="7056" w:type="dxa"/>
            <w:tcMar>
              <w:top w:w="110" w:type="dxa"/>
              <w:left w:w="130" w:type="dxa"/>
              <w:bottom w:w="110" w:type="dxa"/>
              <w:right w:w="130" w:type="dxa"/>
            </w:tcMar>
            <w:vAlign w:val="center"/>
          </w:tcPr>
          <w:p>
            <w:r>
              <w:rPr>
                <w:rFonts w:hint="eastAsia" w:ascii="Noto Sans CJK SC" w:hAnsi="Noto Sans CJK SC" w:eastAsia="Noto Sans CJK SC"/>
                <w:b w:val="0"/>
                <w:sz w:val="18"/>
              </w:rPr>
              <w:t>2026年8月27日</w:t>
            </w:r>
          </w:p>
        </w:tc>
      </w:tr>
      <w:tr>
        <w:trPr/>
        <w:tc>
          <w:tcPr>
            <w:tcW w:w="2304" w:type="dxa"/>
            <w:shd w:fill="EAF2F8"/>
            <w:tcMar>
              <w:top w:w="110" w:type="dxa"/>
              <w:left w:w="130" w:type="dxa"/>
              <w:bottom w:w="110" w:type="dxa"/>
              <w:right w:w="130" w:type="dxa"/>
            </w:tcMar>
            <w:vAlign w:val="center"/>
          </w:tcPr>
          <w:p>
            <w:pPr>
              <w:jc w:val="center"/>
            </w:pPr>
            <w:r>
              <w:rPr>
                <w:rFonts w:hint="eastAsia" w:ascii="Noto Sans CJK SC" w:hAnsi="Noto Sans CJK SC" w:eastAsia="Noto Sans CJK SC"/>
                <w:b w:val="1"/>
                <w:color w:val="1F4E78"/>
                <w:sz w:val="18"/>
              </w:rPr>
              <w:t>文档用途</w:t>
            </w:r>
          </w:p>
        </w:tc>
        <w:tc>
          <w:tcPr>
            <w:tcW w:w="7056" w:type="dxa"/>
            <w:tcMar>
              <w:top w:w="110" w:type="dxa"/>
              <w:left w:w="130" w:type="dxa"/>
              <w:bottom w:w="110" w:type="dxa"/>
              <w:right w:w="130" w:type="dxa"/>
            </w:tcMar>
            <w:vAlign w:val="center"/>
          </w:tcPr>
          <w:p>
            <w:r>
              <w:rPr>
                <w:rFonts w:hint="eastAsia" w:ascii="Noto Sans CJK SC" w:hAnsi="Noto Sans CJK SC" w:eastAsia="Noto Sans CJK SC"/>
                <w:b w:val="0"/>
                <w:sz w:val="18"/>
              </w:rPr>
              <w:t>业务规则确认、经济模型测算、产品设计、技术开发、结算与后台配置</w:t>
            </w:r>
          </w:p>
        </w:tc>
      </w:tr>
      <w:tr>
        <w:trPr/>
        <w:tc>
          <w:tcPr>
            <w:tcW w:w="2304" w:type="dxa"/>
            <w:shd w:fill="EAF2F8"/>
            <w:tcMar>
              <w:top w:w="110" w:type="dxa"/>
              <w:left w:w="130" w:type="dxa"/>
              <w:bottom w:w="110" w:type="dxa"/>
              <w:right w:w="130" w:type="dxa"/>
            </w:tcMar>
            <w:vAlign w:val="center"/>
          </w:tcPr>
          <w:p>
            <w:pPr>
              <w:jc w:val="center"/>
            </w:pPr>
            <w:r>
              <w:rPr>
                <w:rFonts w:hint="eastAsia" w:ascii="Noto Sans CJK SC" w:hAnsi="Noto Sans CJK SC" w:eastAsia="Noto Sans CJK SC"/>
                <w:b w:val="1"/>
                <w:color w:val="1F4E78"/>
                <w:sz w:val="18"/>
              </w:rPr>
              <w:t>当前交易标的</w:t>
            </w:r>
          </w:p>
        </w:tc>
        <w:tc>
          <w:tcPr>
            <w:tcW w:w="7056" w:type="dxa"/>
            <w:tcMar>
              <w:top w:w="110" w:type="dxa"/>
              <w:left w:w="130" w:type="dxa"/>
              <w:bottom w:w="110" w:type="dxa"/>
              <w:right w:w="130" w:type="dxa"/>
            </w:tcMar>
            <w:vAlign w:val="center"/>
          </w:tcPr>
          <w:p>
            <w:r>
              <w:rPr>
                <w:rFonts w:hint="eastAsia" w:ascii="Noto Sans CJK SC" w:hAnsi="Noto Sans CJK SC" w:eastAsia="Noto Sans CJK SC"/>
                <w:b w:val="0"/>
                <w:sz w:val="18"/>
              </w:rPr>
              <w:t>短剧剧本（具体权利属性需最终确认）</w:t>
            </w:r>
          </w:p>
        </w:tc>
      </w:tr>
    </w:tbl>
    <w:p/>
    <w:tbl>
      <w:tblPr>
        <w:tblW w:w="0" w:type="auto"/>
        <w:jc w:val="center"/>
        <w:tblLayout w:type="fixed"/>
        <w:tblLook w:firstRow="1" w:lastRow="0" w:firstColumn="1" w:lastColumn="0" w:noHBand="0" w:noVBand="1" w:val="04A0"/>
      </w:tblPr>
      <w:tblGrid>
        <w:gridCol w:w="10166"/>
      </w:tblGrid>
      <w:tr>
        <w:trPr>
          <w:cantSplit w:val="1"/>
        </w:trPr>
        <w:tc>
          <w:tcPr>
            <w:tcW w:w="10166" w:type="dxa"/>
            <w:tcBorders>
              <w:left w:val="single" w:color="C55A11" w:sz="18"/>
            </w:tcBorders>
            <w:shd w:fill="FFF2CC"/>
            <w:tcMar>
              <w:top w:w="140" w:type="dxa"/>
              <w:left w:w="160" w:type="dxa"/>
              <w:bottom w:w="140" w:type="dxa"/>
              <w:right w:w="160" w:type="dxa"/>
            </w:tcMar>
          </w:tcPr>
          <w:p>
            <w:pPr>
              <w:keepNext w:val="1"/>
              <w:spacing w:after="80"/>
            </w:pPr>
            <w:r>
              <w:rPr>
                <w:rFonts w:hint="eastAsia" w:ascii="Noto Sans CJK SC" w:hAnsi="Noto Sans CJK SC" w:eastAsia="Noto Sans CJK SC"/>
                <w:b w:val="1"/>
                <w:color w:val="C55A11"/>
                <w:sz w:val="21"/>
              </w:rPr>
              <w:t>文档口径</w:t>
            </w:r>
          </w:p>
          <w:p>
            <w:pPr>
              <w:spacing w:after="0" w:line="293" w:lineRule="auto"/>
            </w:pPr>
            <w:r>
              <w:rPr>
                <w:rFonts w:hint="eastAsia" w:ascii="Noto Sans CJK SC" w:hAnsi="Noto Sans CJK SC" w:eastAsia="Noto Sans CJK SC"/>
                <w:b w:val="0"/>
                <w:color w:val="1F1F1F"/>
                <w:sz w:val="19"/>
              </w:rPr>
              <w:t>“现行规则”部分依据当前最新版方案及本轮确认：交易标的已调整为短剧剧本；“经济模型分析/建议”属于基于现行参数的测算与产品设计建议，不应被视为收益保证或法律结论。</w:t>
            </w:r>
          </w:p>
        </w:tc>
      </w:tr>
    </w:tbl>
    <w:p>
      <w:pPr>
        <w:spacing w:after="20"/>
      </w:pPr>
    </w:p>
    <w:p>
      <w:r>
        <w:rPr>
          <w:rFonts w:ascii="Noto Sans CJK SC" w:hAnsi="Noto Sans CJK SC" w:eastAsia="Noto Sans CJK SC"/>
          <w:b w:val="0"/>
          <w:sz w:val="21"/>
        </w:rPr>
        <w:br w:type="page"/>
      </w:r>
    </w:p>
    <w:p>
      <w:pPr>
        <w:pStyle w:val="000008"/>
      </w:pPr>
      <w:r>
        <w:rPr>
          <w:rFonts w:hint="eastAsia" w:ascii="Noto Sans CJK SC" w:hAnsi="Noto Sans CJK SC" w:eastAsia="Noto Sans CJK SC"/>
          <w:b w:val="0"/>
          <w:sz w:val="21"/>
        </w:rPr>
        <w:t>目录</w:t>
      </w:r>
    </w:p>
    <w:p>
      <w:pPr>
        <w:spacing w:after="60"/>
      </w:pPr>
      <w:r>
        <w:rPr>
          <w:rFonts w:hint="eastAsia" w:ascii="Noto Sans CJK SC" w:hAnsi="Noto Sans CJK SC" w:eastAsia="Noto Sans CJK SC"/>
          <w:b w:val="0"/>
          <w:color w:val="1F1F1F"/>
          <w:sz w:val="20"/>
        </w:rPr>
        <w:t>1. 执行摘要与核心结论</w:t>
      </w:r>
    </w:p>
    <w:p>
      <w:pPr>
        <w:spacing w:after="60"/>
      </w:pPr>
      <w:r>
        <w:rPr>
          <w:rFonts w:hint="eastAsia" w:ascii="Noto Sans CJK SC" w:hAnsi="Noto Sans CJK SC" w:eastAsia="Noto Sans CJK SC"/>
          <w:b w:val="0"/>
          <w:color w:val="1F1F1F"/>
          <w:sz w:val="20"/>
        </w:rPr>
        <w:t>2. 项目定位与交易标的定义</w:t>
      </w:r>
    </w:p>
    <w:p>
      <w:pPr>
        <w:spacing w:after="60"/>
      </w:pPr>
      <w:r>
        <w:rPr>
          <w:rFonts w:hint="eastAsia" w:ascii="Noto Sans CJK SC" w:hAnsi="Noto Sans CJK SC" w:eastAsia="Noto Sans CJK SC"/>
          <w:b w:val="0"/>
          <w:color w:val="1F1F1F"/>
          <w:sz w:val="20"/>
        </w:rPr>
        <w:t>3. 参与角色与资产体系</w:t>
      </w:r>
    </w:p>
    <w:p>
      <w:pPr>
        <w:spacing w:after="60"/>
      </w:pPr>
      <w:r>
        <w:rPr>
          <w:rFonts w:hint="eastAsia" w:ascii="Noto Sans CJK SC" w:hAnsi="Noto Sans CJK SC" w:eastAsia="Noto Sans CJK SC"/>
          <w:b w:val="0"/>
          <w:color w:val="1F1F1F"/>
          <w:sz w:val="20"/>
        </w:rPr>
        <w:t>4. 普通区/创新区及价格增长规则</w:t>
      </w:r>
    </w:p>
    <w:p>
      <w:pPr>
        <w:spacing w:after="60"/>
      </w:pPr>
      <w:r>
        <w:rPr>
          <w:rFonts w:hint="eastAsia" w:ascii="Noto Sans CJK SC" w:hAnsi="Noto Sans CJK SC" w:eastAsia="Noto Sans CJK SC"/>
          <w:b w:val="0"/>
          <w:color w:val="1F1F1F"/>
          <w:sz w:val="20"/>
        </w:rPr>
        <w:t>5. 增长拆分、Drama</w:t>
      </w:r>
      <w:r>
        <w:rPr>
          <w:rFonts w:hint="eastAsia" w:ascii="Noto Sans CJK SC" w:hAnsi="Noto Sans CJK SC" w:eastAsia="Noto Sans CJK SC"/>
          <w:b w:val="0"/>
          <w:color w:val="1F1F1F"/>
          <w:sz w:val="20"/>
        </w:rPr>
        <w:t>与用户收益模型</w:t>
      </w:r>
    </w:p>
    <w:p>
      <w:pPr>
        <w:spacing w:after="60"/>
      </w:pPr>
      <w:r>
        <w:rPr>
          <w:rFonts w:hint="eastAsia" w:ascii="Noto Sans CJK SC" w:hAnsi="Noto Sans CJK SC" w:eastAsia="Noto Sans CJK SC"/>
          <w:b w:val="0"/>
          <w:color w:val="1F1F1F"/>
          <w:sz w:val="20"/>
        </w:rPr>
        <w:t>6. 短剧剧本完整交易业务流程</w:t>
      </w:r>
    </w:p>
    <w:p>
      <w:pPr>
        <w:spacing w:after="60"/>
      </w:pPr>
      <w:r>
        <w:rPr>
          <w:rFonts w:hint="eastAsia" w:ascii="Noto Sans CJK SC" w:hAnsi="Noto Sans CJK SC" w:eastAsia="Noto Sans CJK SC"/>
          <w:b w:val="0"/>
          <w:color w:val="1F1F1F"/>
          <w:sz w:val="20"/>
        </w:rPr>
        <w:t>7. 预约、抢购、P2P付款与申诉</w:t>
      </w:r>
    </w:p>
    <w:p>
      <w:pPr>
        <w:spacing w:after="60"/>
      </w:pPr>
      <w:r>
        <w:rPr>
          <w:rFonts w:hint="eastAsia" w:ascii="Noto Sans CJK SC" w:hAnsi="Noto Sans CJK SC" w:eastAsia="Noto Sans CJK SC"/>
          <w:b w:val="0"/>
          <w:color w:val="1F1F1F"/>
          <w:sz w:val="20"/>
        </w:rPr>
        <w:t>8. 持有、到期、自动上架与再交易</w:t>
      </w:r>
    </w:p>
    <w:p>
      <w:pPr>
        <w:spacing w:after="60"/>
      </w:pPr>
      <w:r>
        <w:rPr>
          <w:rFonts w:hint="eastAsia" w:ascii="Noto Sans CJK SC" w:hAnsi="Noto Sans CJK SC" w:eastAsia="Noto Sans CJK SC"/>
          <w:b w:val="0"/>
          <w:color w:val="1F1F1F"/>
          <w:sz w:val="20"/>
        </w:rPr>
        <w:t>9. 10代代理返佣模型</w:t>
      </w:r>
    </w:p>
    <w:p>
      <w:pPr>
        <w:spacing w:after="60"/>
      </w:pPr>
      <w:r>
        <w:rPr>
          <w:rFonts w:hint="eastAsia" w:ascii="Noto Sans CJK SC" w:hAnsi="Noto Sans CJK SC" w:eastAsia="Noto Sans CJK SC"/>
          <w:b w:val="0"/>
          <w:color w:val="1F1F1F"/>
          <w:sz w:val="20"/>
        </w:rPr>
        <w:t>10. GIP与资产积分机制</w:t>
      </w:r>
    </w:p>
    <w:p>
      <w:pPr>
        <w:spacing w:after="60"/>
      </w:pPr>
      <w:r>
        <w:rPr>
          <w:rFonts w:hint="eastAsia" w:ascii="Noto Sans CJK SC" w:hAnsi="Noto Sans CJK SC" w:eastAsia="Noto Sans CJK SC"/>
          <w:b w:val="0"/>
          <w:color w:val="1F1F1F"/>
          <w:sz w:val="20"/>
        </w:rPr>
        <w:t>11. 短剧剧本发行与生命周期</w:t>
      </w:r>
    </w:p>
    <w:p>
      <w:pPr>
        <w:spacing w:after="60"/>
      </w:pPr>
      <w:r>
        <w:rPr>
          <w:rFonts w:hint="eastAsia" w:ascii="Noto Sans CJK SC" w:hAnsi="Noto Sans CJK SC" w:eastAsia="Noto Sans CJK SC"/>
          <w:b w:val="0"/>
          <w:color w:val="1F1F1F"/>
          <w:sz w:val="20"/>
        </w:rPr>
        <w:t>12. 订单状态机与账本结算</w:t>
      </w:r>
    </w:p>
    <w:p>
      <w:pPr>
        <w:spacing w:after="60"/>
      </w:pPr>
      <w:r>
        <w:rPr>
          <w:rFonts w:hint="eastAsia" w:ascii="Noto Sans CJK SC" w:hAnsi="Noto Sans CJK SC" w:eastAsia="Noto Sans CJK SC"/>
          <w:b w:val="0"/>
          <w:color w:val="1F1F1F"/>
          <w:sz w:val="20"/>
        </w:rPr>
        <w:t>13. 平台变现与盈利模式</w:t>
      </w:r>
    </w:p>
    <w:p>
      <w:pPr>
        <w:spacing w:after="60"/>
      </w:pPr>
      <w:r>
        <w:rPr>
          <w:rFonts w:hint="eastAsia" w:ascii="Noto Sans CJK SC" w:hAnsi="Noto Sans CJK SC" w:eastAsia="Noto Sans CJK SC"/>
          <w:b w:val="0"/>
          <w:color w:val="1F1F1F"/>
          <w:sz w:val="20"/>
        </w:rPr>
        <w:t>14. 用户资金回收与收益回本周期</w:t>
      </w:r>
    </w:p>
    <w:p>
      <w:pPr>
        <w:spacing w:after="60"/>
      </w:pPr>
      <w:r>
        <w:rPr>
          <w:rFonts w:hint="eastAsia" w:ascii="Noto Sans CJK SC" w:hAnsi="Noto Sans CJK SC" w:eastAsia="Noto Sans CJK SC"/>
          <w:b w:val="0"/>
          <w:color w:val="1F1F1F"/>
          <w:sz w:val="20"/>
        </w:rPr>
        <w:t>15. 平台盈利测算与GMV情景</w:t>
      </w:r>
    </w:p>
    <w:p>
      <w:pPr>
        <w:spacing w:after="60"/>
      </w:pPr>
      <w:r>
        <w:rPr>
          <w:rFonts w:hint="eastAsia" w:ascii="Noto Sans CJK SC" w:hAnsi="Noto Sans CJK SC" w:eastAsia="Noto Sans CJK SC"/>
          <w:b w:val="0"/>
          <w:color w:val="1F1F1F"/>
          <w:sz w:val="20"/>
        </w:rPr>
        <w:t>16. 流动性、价格增长与可持续性</w:t>
      </w:r>
    </w:p>
    <w:p>
      <w:pPr>
        <w:spacing w:after="60"/>
      </w:pPr>
      <w:r>
        <w:rPr>
          <w:rFonts w:hint="eastAsia" w:ascii="Noto Sans CJK SC" w:hAnsi="Noto Sans CJK SC" w:eastAsia="Noto Sans CJK SC"/>
          <w:b w:val="0"/>
          <w:color w:val="1F1F1F"/>
          <w:sz w:val="20"/>
        </w:rPr>
        <w:t>17. 系统模块与技术实现基线</w:t>
      </w:r>
    </w:p>
    <w:p>
      <w:pPr>
        <w:spacing w:after="60"/>
      </w:pPr>
      <w:r>
        <w:rPr>
          <w:rFonts w:hint="eastAsia" w:ascii="Noto Sans CJK SC" w:hAnsi="Noto Sans CJK SC" w:eastAsia="Noto Sans CJK SC"/>
          <w:b w:val="0"/>
          <w:color w:val="1F1F1F"/>
          <w:sz w:val="20"/>
        </w:rPr>
        <w:t>18. 开发前必须确认的规则</w:t>
      </w:r>
    </w:p>
    <w:p>
      <w:pPr>
        <w:spacing w:after="60"/>
      </w:pPr>
      <w:r>
        <w:rPr>
          <w:rFonts w:hint="eastAsia" w:ascii="Noto Sans CJK SC" w:hAnsi="Noto Sans CJK SC" w:eastAsia="Noto Sans CJK SC"/>
          <w:b w:val="0"/>
          <w:color w:val="1F1F1F"/>
          <w:sz w:val="20"/>
        </w:rPr>
        <w:t>19. 合规与运营风险提示</w:t>
      </w:r>
    </w:p>
    <w:p>
      <w:pPr>
        <w:spacing w:after="60"/>
      </w:pPr>
      <w:r>
        <w:rPr>
          <w:rFonts w:hint="eastAsia" w:ascii="Noto Sans CJK SC" w:hAnsi="Noto Sans CJK SC" w:eastAsia="Noto Sans CJK SC"/>
          <w:b w:val="0"/>
          <w:color w:val="1F1F1F"/>
          <w:sz w:val="20"/>
        </w:rPr>
        <w:t>20. 推荐落地路线图</w:t>
      </w:r>
    </w:p>
    <w:p>
      <w:pPr>
        <w:spacing w:after="60"/>
      </w:pPr>
      <w:r>
        <w:rPr>
          <w:rFonts w:hint="eastAsia" w:ascii="Noto Sans CJK SC" w:hAnsi="Noto Sans CJK SC" w:eastAsia="Noto Sans CJK SC"/>
          <w:b w:val="0"/>
          <w:color w:val="1F1F1F"/>
          <w:sz w:val="20"/>
        </w:rPr>
        <w:t>附录A：关键公式与案例速查</w:t>
      </w:r>
    </w:p>
    <w:p>
      <w:pPr>
        <w:pStyle w:val="000008"/>
      </w:pPr>
      <w:r>
        <w:rPr>
          <w:rFonts w:hint="eastAsia" w:ascii="Noto Sans CJK SC" w:hAnsi="Noto Sans CJK SC" w:eastAsia="Noto Sans CJK SC"/>
          <w:b w:val="0"/>
          <w:sz w:val="21"/>
        </w:rPr>
        <w:t>1. 执行摘要与核心结论</w:t>
      </w:r>
    </w:p>
    <w:p>
      <w:pPr>
        <w:spacing w:after="120" w:line="307" w:lineRule="auto"/>
      </w:pPr>
      <w:r>
        <w:rPr>
          <w:rFonts w:hint="eastAsia" w:ascii="Noto Sans CJK SC" w:hAnsi="Noto Sans CJK SC" w:eastAsia="Noto Sans CJK SC"/>
          <w:b w:val="0"/>
          <w:sz w:val="21"/>
        </w:rPr>
        <w:t>本项目当前应统一理解为一套“短剧剧本交易标的 + 预约抢购 + P2P成交 + 持有周期 + 到期再上架 + Drama</w:t>
      </w:r>
      <w:r>
        <w:rPr>
          <w:rFonts w:hint="eastAsia" w:ascii="Noto Sans CJK SC" w:hAnsi="Noto Sans CJK SC" w:eastAsia="Noto Sans CJK SC"/>
          <w:b w:val="0"/>
          <w:sz w:val="21"/>
        </w:rPr>
        <w:t>费用体系 + 资产积分 + GIP奖励 + 10代代理返佣”的循环交易平台。</w:t>
      </w:r>
    </w:p>
    <w:p>
      <w:pPr>
        <w:pStyle w:val="00002c"/>
        <w:spacing w:after="60"/>
        <w:ind w:left="259" w:hanging="173"/>
      </w:pPr>
      <w:r>
        <w:rPr>
          <w:rFonts w:hint="eastAsia" w:ascii="Noto Sans CJK SC" w:hAnsi="Noto Sans CJK SC" w:eastAsia="Noto Sans CJK SC"/>
          <w:b w:val="0"/>
          <w:sz w:val="20"/>
        </w:rPr>
        <w:t>普通区当前日增长率为2%；创新区当前日增长率为3%。</w:t>
      </w:r>
    </w:p>
    <w:p>
      <w:pPr>
        <w:pStyle w:val="00002c"/>
        <w:spacing w:after="60"/>
        <w:ind w:left="259" w:hanging="173"/>
      </w:pPr>
      <w:r>
        <w:rPr>
          <w:rFonts w:hint="eastAsia" w:ascii="Noto Sans CJK SC" w:hAnsi="Noto Sans CJK SC" w:eastAsia="Noto Sans CJK SC"/>
          <w:b w:val="0"/>
          <w:sz w:val="20"/>
        </w:rPr>
        <w:t>增长金额按70%平台手续费、15%用户现金收益、15%资产积分拆分。</w:t>
      </w:r>
    </w:p>
    <w:p>
      <w:pPr>
        <w:pStyle w:val="00002c"/>
        <w:spacing w:after="60"/>
        <w:ind w:left="259" w:hanging="173"/>
      </w:pPr>
      <w:r>
        <w:rPr>
          <w:rFonts w:hint="eastAsia" w:ascii="Noto Sans CJK SC" w:hAnsi="Noto Sans CJK SC" w:eastAsia="Noto Sans CJK SC"/>
          <w:b w:val="0"/>
          <w:sz w:val="20"/>
        </w:rPr>
        <w:t>卖出所需Drama</w:t>
      </w:r>
      <w:r>
        <w:rPr>
          <w:rFonts w:hint="eastAsia" w:ascii="Noto Sans CJK SC" w:hAnsi="Noto Sans CJK SC" w:eastAsia="Noto Sans CJK SC"/>
          <w:b w:val="0"/>
          <w:sz w:val="20"/>
        </w:rPr>
        <w:t>按增长金额的85%总占用理解，其中70%为平台手续费、15%用于资产积分转换。</w:t>
      </w:r>
    </w:p>
    <w:p>
      <w:pPr>
        <w:pStyle w:val="00002c"/>
        <w:spacing w:after="60"/>
        <w:ind w:left="259" w:hanging="173"/>
      </w:pPr>
      <w:r>
        <w:rPr>
          <w:rFonts w:hint="eastAsia" w:ascii="Noto Sans CJK SC" w:hAnsi="Noto Sans CJK SC" w:eastAsia="Noto Sans CJK SC"/>
          <w:b w:val="0"/>
          <w:sz w:val="20"/>
        </w:rPr>
        <w:t>代理最多追溯10代：第1-3代按下级平台手续费的7%返佣，第4-10代按2%返佣。</w:t>
      </w:r>
    </w:p>
    <w:p>
      <w:pPr>
        <w:pStyle w:val="00002c"/>
        <w:spacing w:after="60"/>
        <w:ind w:left="259" w:hanging="173"/>
      </w:pPr>
      <w:r>
        <w:rPr>
          <w:rFonts w:hint="eastAsia" w:ascii="Noto Sans CJK SC" w:hAnsi="Noto Sans CJK SC" w:eastAsia="Noto Sans CJK SC"/>
          <w:b w:val="0"/>
          <w:sz w:val="20"/>
        </w:rPr>
        <w:t>代理佣金应在短剧剧本实际卖出成交且手续费结算完成后产生。</w:t>
      </w:r>
    </w:p>
    <w:p>
      <w:pPr>
        <w:pStyle w:val="00002c"/>
        <w:spacing w:after="60"/>
        <w:ind w:left="259" w:hanging="173"/>
      </w:pPr>
      <w:r>
        <w:rPr>
          <w:rFonts w:hint="eastAsia" w:ascii="Noto Sans CJK SC" w:hAnsi="Noto Sans CJK SC" w:eastAsia="Noto Sans CJK SC"/>
          <w:b w:val="0"/>
          <w:sz w:val="20"/>
        </w:rPr>
        <w:t>“到期自动卖出”应技术定义为“到期自动上架”；没有下一位买家就不能确认真实成交。</w:t>
      </w:r>
    </w:p>
    <w:p>
      <w:pPr>
        <w:pStyle w:val="00002c"/>
        <w:spacing w:after="60"/>
        <w:ind w:left="259" w:hanging="173"/>
      </w:pPr>
      <w:r>
        <w:rPr>
          <w:rFonts w:hint="eastAsia" w:ascii="Noto Sans CJK SC" w:hAnsi="Noto Sans CJK SC" w:eastAsia="Noto Sans CJK SC"/>
          <w:b w:val="0"/>
          <w:sz w:val="20"/>
        </w:rPr>
        <w:t>交易标的已由历史“基金权证”口径调整为“短剧剧本”，历史相关字段和文案应统一替换。</w:t>
      </w:r>
    </w:p>
    <w:tbl>
      <w:tblPr>
        <w:tblW w:w="0" w:type="auto"/>
        <w:jc w:val="center"/>
        <w:tblLayout w:type="fixed"/>
        <w:tblLook w:firstRow="1" w:lastRow="0" w:firstColumn="1" w:lastColumn="0" w:noHBand="0" w:noVBand="1" w:val="04A0"/>
      </w:tblPr>
      <w:tblGrid>
        <w:gridCol w:w="10166"/>
      </w:tblGrid>
      <w:tr>
        <w:trPr>
          <w:cantSplit w:val="1"/>
        </w:trPr>
        <w:tc>
          <w:tcPr>
            <w:tcW w:w="10166" w:type="dxa"/>
            <w:tcBorders>
              <w:left w:val="single" w:color="2F75B5" w:sz="18"/>
            </w:tcBorders>
            <w:shd w:fill="EAF2F8"/>
            <w:tcMar>
              <w:top w:w="140" w:type="dxa"/>
              <w:left w:w="160" w:type="dxa"/>
              <w:bottom w:w="140" w:type="dxa"/>
              <w:right w:w="160" w:type="dxa"/>
            </w:tcMar>
          </w:tcPr>
          <w:p>
            <w:pPr>
              <w:keepNext w:val="1"/>
              <w:spacing w:after="80"/>
            </w:pPr>
            <w:r>
              <w:rPr>
                <w:rFonts w:hint="eastAsia" w:ascii="Noto Sans CJK SC" w:hAnsi="Noto Sans CJK SC" w:eastAsia="Noto Sans CJK SC"/>
                <w:b w:val="1"/>
                <w:color w:val="2F75B5"/>
                <w:sz w:val="21"/>
              </w:rPr>
              <w:t>最重要的经济结论</w:t>
            </w:r>
          </w:p>
          <w:p>
            <w:pPr>
              <w:spacing w:after="0" w:line="293" w:lineRule="auto"/>
            </w:pPr>
            <w:r>
              <w:rPr>
                <w:rFonts w:hint="eastAsia" w:ascii="Noto Sans CJK SC" w:hAnsi="Noto Sans CJK SC" w:eastAsia="Noto Sans CJK SC"/>
                <w:b w:val="0"/>
                <w:color w:val="1F1F1F"/>
                <w:sz w:val="19"/>
              </w:rPr>
              <w:t>3%/2%是短剧剧本交易价格的增长口径，不等于用户每天现金净赚3%/2%。创新区现金收益为0.45%/日、普通区为0.30%/日；若资产积分按同等价值实现兑换，则综合经济价值分别为0.90%/日和0.60%/日。</w:t>
            </w:r>
          </w:p>
        </w:tc>
      </w:tr>
    </w:tbl>
    <w:p>
      <w:pPr>
        <w:spacing w:after="20"/>
      </w:pPr>
    </w:p>
    <w:p>
      <w:pPr>
        <w:pStyle w:val="000008"/>
      </w:pPr>
      <w:r>
        <w:rPr>
          <w:rFonts w:hint="eastAsia" w:ascii="Noto Sans CJK SC" w:hAnsi="Noto Sans CJK SC" w:eastAsia="Noto Sans CJK SC"/>
          <w:b w:val="0"/>
          <w:sz w:val="21"/>
        </w:rPr>
        <w:t>2. 项目定位与交易标的定义</w:t>
      </w:r>
    </w:p>
    <w:p>
      <w:pPr>
        <w:spacing w:after="120" w:line="307" w:lineRule="auto"/>
      </w:pPr>
      <w:r>
        <w:rPr>
          <w:rFonts w:hint="eastAsia" w:ascii="Noto Sans CJK SC" w:hAnsi="Noto Sans CJK SC" w:eastAsia="Noto Sans CJK SC"/>
          <w:b w:val="0"/>
          <w:sz w:val="21"/>
        </w:rPr>
        <w:t>交易标的正式调整为“短剧剧本”。为避免在产品与合同层面提前假设具体权利性质，本文统一使用“短剧剧本交易权益”作为技术与业务中性称呼。</w:t>
      </w:r>
    </w:p>
    <w:p>
      <w:pPr>
        <w:spacing w:after="120" w:line="307" w:lineRule="auto"/>
      </w:pPr>
      <w:r>
        <w:rPr>
          <w:rFonts w:hint="eastAsia" w:ascii="Noto Sans CJK SC" w:hAnsi="Noto Sans CJK SC" w:eastAsia="Noto Sans CJK SC"/>
          <w:b w:val="0"/>
          <w:sz w:val="21"/>
        </w:rPr>
        <w:t>开发前必须确认用户购买的究竟是什么权利。该定义会直接影响合同、数据库、交易页面、能否转售、是否涉及版权/收益权以及相关合规要求。</w:t>
      </w:r>
    </w:p>
    <w:tbl>
      <w:tblPr>
        <w:tblStyle w:val="000049"/>
        <w:tblW w:w="0" w:type="auto"/>
        <w:jc w:val="center"/>
        <w:tblLayout w:type="fixed"/>
        <w:tblLook w:firstRow="1" w:lastRow="0" w:firstColumn="1" w:lastColumn="0" w:noHBand="0" w:noVBand="1" w:val="04A0"/>
      </w:tblPr>
      <w:tblGrid>
        <w:gridCol w:w="3389"/>
        <w:gridCol w:w="3389"/>
        <w:gridCol w:w="3389"/>
      </w:tblGrid>
      <w:tr>
        <w:trPr>
          <w:cantSplit w:val="1"/>
          <w:tblHeader w:val="1"/>
        </w:trPr>
        <w:tc>
          <w:tcPr>
            <w:tcW w:w="2880" w:type="dxa"/>
            <w:shd w:fill="1F4E78"/>
            <w:tcMar>
              <w:top w:w="120" w:type="dxa"/>
              <w:left w:w="110" w:type="dxa"/>
              <w:bottom w:w="120" w:type="dxa"/>
              <w:right w:w="110" w:type="dxa"/>
            </w:tcMar>
            <w:vAlign w:val="center"/>
          </w:tcPr>
          <w:p>
            <w:pPr>
              <w:spacing w:after="0" w:line="252" w:lineRule="auto"/>
              <w:jc w:val="center"/>
            </w:pPr>
            <w:r>
              <w:rPr>
                <w:rFonts w:hint="eastAsia" w:ascii="Noto Sans CJK SC" w:hAnsi="Noto Sans CJK SC" w:eastAsia="Noto Sans CJK SC"/>
                <w:b w:val="1"/>
                <w:color w:val="FFFFFF"/>
                <w:sz w:val="17"/>
              </w:rPr>
              <w:t>可能的权利模式</w:t>
            </w:r>
          </w:p>
        </w:tc>
        <w:tc>
          <w:tcPr>
            <w:tcW w:w="5184" w:type="dxa"/>
            <w:shd w:fill="1F4E78"/>
            <w:tcMar>
              <w:top w:w="120" w:type="dxa"/>
              <w:left w:w="110" w:type="dxa"/>
              <w:bottom w:w="120" w:type="dxa"/>
              <w:right w:w="110" w:type="dxa"/>
            </w:tcMar>
            <w:vAlign w:val="center"/>
          </w:tcPr>
          <w:p>
            <w:pPr>
              <w:spacing w:after="0" w:line="252" w:lineRule="auto"/>
              <w:jc w:val="center"/>
            </w:pPr>
            <w:r>
              <w:rPr>
                <w:rFonts w:hint="eastAsia" w:ascii="Noto Sans CJK SC" w:hAnsi="Noto Sans CJK SC" w:eastAsia="Noto Sans CJK SC"/>
                <w:b w:val="1"/>
                <w:color w:val="FFFFFF"/>
                <w:sz w:val="17"/>
              </w:rPr>
              <w:t>业务含义</w:t>
            </w:r>
          </w:p>
        </w:tc>
        <w:tc>
          <w:tcPr>
            <w:tcW w:w="1728" w:type="dxa"/>
            <w:shd w:fill="1F4E78"/>
            <w:tcMar>
              <w:top w:w="120" w:type="dxa"/>
              <w:left w:w="110" w:type="dxa"/>
              <w:bottom w:w="120" w:type="dxa"/>
              <w:right w:w="110" w:type="dxa"/>
            </w:tcMar>
            <w:vAlign w:val="center"/>
          </w:tcPr>
          <w:p>
            <w:pPr>
              <w:spacing w:after="0" w:line="252" w:lineRule="auto"/>
              <w:jc w:val="center"/>
            </w:pPr>
            <w:r>
              <w:rPr>
                <w:rFonts w:hint="eastAsia" w:ascii="Noto Sans CJK SC" w:hAnsi="Noto Sans CJK SC" w:eastAsia="Noto Sans CJK SC"/>
                <w:b w:val="1"/>
                <w:color w:val="FFFFFF"/>
                <w:sz w:val="17"/>
              </w:rPr>
              <w:t>与现有P2P模型适配度</w:t>
            </w:r>
          </w:p>
        </w:tc>
      </w:tr>
      <w:tr>
        <w:trPr>
          <w:cantSplit w:val="1"/>
        </w:trPr>
        <w:tc>
          <w:tcPr>
            <w:tcW w:w="2880"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完整剧本所有权</w:t>
            </w:r>
          </w:p>
        </w:tc>
        <w:tc>
          <w:tcPr>
            <w:tcW w:w="5184" w:type="dxa"/>
            <w:tcMar>
              <w:top w:w="100" w:type="dxa"/>
              <w:left w:w="110" w:type="dxa"/>
              <w:bottom w:w="100" w:type="dxa"/>
              <w:right w:w="110" w:type="dxa"/>
            </w:tcMar>
            <w:vAlign w:val="center"/>
          </w:tcPr>
          <w:p>
            <w:pPr>
              <w:spacing w:after="0" w:line="259" w:lineRule="auto"/>
              <w:jc w:val="left"/>
            </w:pPr>
            <w:r>
              <w:rPr>
                <w:rFonts w:hint="eastAsia" w:ascii="Noto Sans CJK SC" w:hAnsi="Noto Sans CJK SC" w:eastAsia="Noto Sans CJK SC"/>
                <w:b w:val="0"/>
                <w:color w:val="1F1F1F"/>
                <w:sz w:val="17"/>
              </w:rPr>
              <w:t>买方取得剧本本身的完整权利</w:t>
            </w:r>
          </w:p>
        </w:tc>
        <w:tc>
          <w:tcPr>
            <w:tcW w:w="1728"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低-中；每份标的难以无限循环</w:t>
            </w:r>
          </w:p>
        </w:tc>
      </w:tr>
      <w:tr>
        <w:trPr>
          <w:cantSplit w:val="1"/>
        </w:trPr>
        <w:tc>
          <w:tcPr>
            <w:tcW w:w="2880"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版权份额</w:t>
            </w:r>
          </w:p>
        </w:tc>
        <w:tc>
          <w:tcPr>
            <w:tcW w:w="5184" w:type="dxa"/>
            <w:tcMar>
              <w:top w:w="100" w:type="dxa"/>
              <w:left w:w="110" w:type="dxa"/>
              <w:bottom w:w="100" w:type="dxa"/>
              <w:right w:w="110" w:type="dxa"/>
            </w:tcMar>
            <w:vAlign w:val="center"/>
          </w:tcPr>
          <w:p>
            <w:pPr>
              <w:spacing w:after="0" w:line="259" w:lineRule="auto"/>
              <w:jc w:val="left"/>
            </w:pPr>
            <w:r>
              <w:rPr>
                <w:rFonts w:hint="eastAsia" w:ascii="Noto Sans CJK SC" w:hAnsi="Noto Sans CJK SC" w:eastAsia="Noto Sans CJK SC"/>
                <w:b w:val="0"/>
                <w:color w:val="1F1F1F"/>
                <w:sz w:val="17"/>
              </w:rPr>
              <w:t>将剧本版权按份额拆分交易</w:t>
            </w:r>
          </w:p>
        </w:tc>
        <w:tc>
          <w:tcPr>
            <w:tcW w:w="1728"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中；需明确份额权利和登记机制</w:t>
            </w:r>
          </w:p>
        </w:tc>
      </w:tr>
      <w:tr>
        <w:trPr>
          <w:cantSplit w:val="1"/>
        </w:trPr>
        <w:tc>
          <w:tcPr>
            <w:tcW w:w="2880"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收益权</w:t>
            </w:r>
          </w:p>
        </w:tc>
        <w:tc>
          <w:tcPr>
            <w:tcW w:w="5184" w:type="dxa"/>
            <w:tcMar>
              <w:top w:w="100" w:type="dxa"/>
              <w:left w:w="110" w:type="dxa"/>
              <w:bottom w:w="100" w:type="dxa"/>
              <w:right w:w="110" w:type="dxa"/>
            </w:tcMar>
            <w:vAlign w:val="center"/>
          </w:tcPr>
          <w:p>
            <w:pPr>
              <w:spacing w:after="0" w:line="259" w:lineRule="auto"/>
              <w:jc w:val="left"/>
            </w:pPr>
            <w:r>
              <w:rPr>
                <w:rFonts w:hint="eastAsia" w:ascii="Noto Sans CJK SC" w:hAnsi="Noto Sans CJK SC" w:eastAsia="Noto Sans CJK SC"/>
                <w:b w:val="0"/>
                <w:color w:val="1F1F1F"/>
                <w:sz w:val="17"/>
              </w:rPr>
              <w:t>用户取得未来短剧商业收益的一定比例</w:t>
            </w:r>
          </w:p>
        </w:tc>
        <w:tc>
          <w:tcPr>
            <w:tcW w:w="1728"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中；需要真实收益来源和合同安排</w:t>
            </w:r>
          </w:p>
        </w:tc>
      </w:tr>
      <w:tr>
        <w:trPr>
          <w:cantSplit w:val="1"/>
        </w:trPr>
        <w:tc>
          <w:tcPr>
            <w:tcW w:w="2880"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平台内剧本交易权益</w:t>
            </w:r>
          </w:p>
        </w:tc>
        <w:tc>
          <w:tcPr>
            <w:tcW w:w="5184" w:type="dxa"/>
            <w:tcMar>
              <w:top w:w="100" w:type="dxa"/>
              <w:left w:w="110" w:type="dxa"/>
              <w:bottom w:w="100" w:type="dxa"/>
              <w:right w:w="110" w:type="dxa"/>
            </w:tcMar>
            <w:vAlign w:val="center"/>
          </w:tcPr>
          <w:p>
            <w:pPr>
              <w:spacing w:after="0" w:line="259" w:lineRule="auto"/>
              <w:jc w:val="left"/>
            </w:pPr>
            <w:r>
              <w:rPr>
                <w:rFonts w:hint="eastAsia" w:ascii="Noto Sans CJK SC" w:hAnsi="Noto Sans CJK SC" w:eastAsia="Noto Sans CJK SC"/>
                <w:b w:val="0"/>
                <w:color w:val="1F1F1F"/>
                <w:sz w:val="17"/>
              </w:rPr>
              <w:t>平台内部可流转的数字化交易权益</w:t>
            </w:r>
          </w:p>
        </w:tc>
        <w:tc>
          <w:tcPr>
            <w:tcW w:w="1728"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高；最接近当前持有-到期-转售结构</w:t>
            </w:r>
          </w:p>
        </w:tc>
      </w:tr>
      <w:tr>
        <w:trPr>
          <w:cantSplit w:val="1"/>
        </w:trPr>
        <w:tc>
          <w:tcPr>
            <w:tcW w:w="2880"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使用/改编授权</w:t>
            </w:r>
          </w:p>
        </w:tc>
        <w:tc>
          <w:tcPr>
            <w:tcW w:w="5184" w:type="dxa"/>
            <w:tcMar>
              <w:top w:w="100" w:type="dxa"/>
              <w:left w:w="110" w:type="dxa"/>
              <w:bottom w:w="100" w:type="dxa"/>
              <w:right w:w="110" w:type="dxa"/>
            </w:tcMar>
            <w:vAlign w:val="center"/>
          </w:tcPr>
          <w:p>
            <w:pPr>
              <w:spacing w:after="0" w:line="259" w:lineRule="auto"/>
              <w:jc w:val="left"/>
            </w:pPr>
            <w:r>
              <w:rPr>
                <w:rFonts w:hint="eastAsia" w:ascii="Noto Sans CJK SC" w:hAnsi="Noto Sans CJK SC" w:eastAsia="Noto Sans CJK SC"/>
                <w:b w:val="0"/>
                <w:color w:val="1F1F1F"/>
                <w:sz w:val="17"/>
              </w:rPr>
              <w:t>获得一定期限/范围内使用或改编权</w:t>
            </w:r>
          </w:p>
        </w:tc>
        <w:tc>
          <w:tcPr>
            <w:tcW w:w="1728"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中；适合B端授权，不一定适合高频P2P</w:t>
            </w:r>
          </w:p>
        </w:tc>
      </w:tr>
    </w:tbl>
    <w:p>
      <w:pPr>
        <w:spacing w:after="20"/>
      </w:pPr>
    </w:p>
    <w:tbl>
      <w:tblPr>
        <w:tblW w:w="0" w:type="auto"/>
        <w:jc w:val="center"/>
        <w:tblLayout w:type="fixed"/>
        <w:tblLook w:firstRow="1" w:lastRow="0" w:firstColumn="1" w:lastColumn="0" w:noHBand="0" w:noVBand="1" w:val="04A0"/>
      </w:tblPr>
      <w:tblGrid>
        <w:gridCol w:w="10166"/>
      </w:tblGrid>
      <w:tr>
        <w:trPr>
          <w:cantSplit w:val="1"/>
        </w:trPr>
        <w:tc>
          <w:tcPr>
            <w:tcW w:w="10166" w:type="dxa"/>
            <w:tcBorders>
              <w:left w:val="single" w:color="C55A11" w:sz="18"/>
            </w:tcBorders>
            <w:shd w:fill="FFF2CC"/>
            <w:tcMar>
              <w:top w:w="140" w:type="dxa"/>
              <w:left w:w="160" w:type="dxa"/>
              <w:bottom w:w="140" w:type="dxa"/>
              <w:right w:w="160" w:type="dxa"/>
            </w:tcMar>
          </w:tcPr>
          <w:p>
            <w:pPr>
              <w:keepNext w:val="1"/>
              <w:spacing w:after="80"/>
            </w:pPr>
            <w:r>
              <w:rPr>
                <w:rFonts w:hint="eastAsia" w:ascii="Noto Sans CJK SC" w:hAnsi="Noto Sans CJK SC" w:eastAsia="Noto Sans CJK SC"/>
                <w:b w:val="1"/>
                <w:color w:val="C55A11"/>
                <w:sz w:val="21"/>
              </w:rPr>
              <w:t>待确认硬门槛</w:t>
            </w:r>
          </w:p>
          <w:p>
            <w:pPr>
              <w:spacing w:after="0" w:line="293" w:lineRule="auto"/>
            </w:pPr>
            <w:r>
              <w:rPr>
                <w:rFonts w:hint="eastAsia" w:ascii="Noto Sans CJK SC" w:hAnsi="Noto Sans CJK SC" w:eastAsia="Noto Sans CJK SC"/>
                <w:b w:val="0"/>
                <w:color w:val="1F1F1F"/>
                <w:sz w:val="19"/>
              </w:rPr>
              <w:t>在开始最终数据库和合同开发之前，必须形成书面定义：用户买到的具体权利、是否可转售、转售次数/期限、是否含收益权、是否允许改编/拍摄、是否独家以及权利终止条件。</w:t>
            </w:r>
          </w:p>
        </w:tc>
      </w:tr>
    </w:tbl>
    <w:p>
      <w:pPr>
        <w:spacing w:after="20"/>
      </w:pPr>
    </w:p>
    <w:p>
      <w:pPr>
        <w:pStyle w:val="000008"/>
      </w:pPr>
      <w:r>
        <w:rPr>
          <w:rFonts w:hint="eastAsia" w:ascii="Noto Sans CJK SC" w:hAnsi="Noto Sans CJK SC" w:eastAsia="Noto Sans CJK SC"/>
          <w:b w:val="0"/>
          <w:sz w:val="21"/>
        </w:rPr>
        <w:t>3. 参与角色与资产体系</w:t>
      </w:r>
    </w:p>
    <w:tbl>
      <w:tblPr>
        <w:tblStyle w:val="000049"/>
        <w:tblW w:w="0" w:type="auto"/>
        <w:jc w:val="center"/>
        <w:tblLayout w:type="fixed"/>
        <w:tblLook w:firstRow="1" w:lastRow="0" w:firstColumn="1" w:lastColumn="0" w:noHBand="0" w:noVBand="1" w:val="04A0"/>
      </w:tblPr>
      <w:tblGrid>
        <w:gridCol w:w="5083"/>
        <w:gridCol w:w="5083"/>
      </w:tblGrid>
      <w:tr>
        <w:trPr>
          <w:cantSplit w:val="1"/>
          <w:tblHeader w:val="1"/>
        </w:trPr>
        <w:tc>
          <w:tcPr>
            <w:tcW w:w="2160" w:type="dxa"/>
            <w:shd w:fill="1F4E78"/>
            <w:tcMar>
              <w:top w:w="120" w:type="dxa"/>
              <w:left w:w="110" w:type="dxa"/>
              <w:bottom w:w="120" w:type="dxa"/>
              <w:right w:w="110" w:type="dxa"/>
            </w:tcMar>
            <w:vAlign w:val="center"/>
          </w:tcPr>
          <w:p>
            <w:pPr>
              <w:spacing w:after="0" w:line="252" w:lineRule="auto"/>
              <w:jc w:val="center"/>
            </w:pPr>
            <w:r>
              <w:rPr>
                <w:rFonts w:hint="eastAsia" w:ascii="Noto Sans CJK SC" w:hAnsi="Noto Sans CJK SC" w:eastAsia="Noto Sans CJK SC"/>
                <w:b w:val="1"/>
                <w:color w:val="FFFFFF"/>
                <w:sz w:val="18"/>
              </w:rPr>
              <w:t>角色</w:t>
            </w:r>
          </w:p>
        </w:tc>
        <w:tc>
          <w:tcPr>
            <w:tcW w:w="7632" w:type="dxa"/>
            <w:shd w:fill="1F4E78"/>
            <w:tcMar>
              <w:top w:w="120" w:type="dxa"/>
              <w:left w:w="110" w:type="dxa"/>
              <w:bottom w:w="120" w:type="dxa"/>
              <w:right w:w="110" w:type="dxa"/>
            </w:tcMar>
            <w:vAlign w:val="center"/>
          </w:tcPr>
          <w:p>
            <w:pPr>
              <w:spacing w:after="0" w:line="252" w:lineRule="auto"/>
              <w:jc w:val="center"/>
            </w:pPr>
            <w:r>
              <w:rPr>
                <w:rFonts w:hint="eastAsia" w:ascii="Noto Sans CJK SC" w:hAnsi="Noto Sans CJK SC" w:eastAsia="Noto Sans CJK SC"/>
                <w:b w:val="1"/>
                <w:color w:val="FFFFFF"/>
                <w:sz w:val="18"/>
              </w:rPr>
              <w:t>核心职责</w:t>
            </w:r>
          </w:p>
        </w:tc>
      </w:tr>
      <w:tr>
        <w:trPr>
          <w:cantSplit w:val="1"/>
        </w:trPr>
        <w:tc>
          <w:tcPr>
            <w:tcW w:w="2160"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8"/>
              </w:rPr>
              <w:t>买家</w:t>
            </w:r>
          </w:p>
        </w:tc>
        <w:tc>
          <w:tcPr>
            <w:tcW w:w="7632" w:type="dxa"/>
            <w:tcMar>
              <w:top w:w="100" w:type="dxa"/>
              <w:left w:w="110" w:type="dxa"/>
              <w:bottom w:w="100" w:type="dxa"/>
              <w:right w:w="110" w:type="dxa"/>
            </w:tcMar>
            <w:vAlign w:val="center"/>
          </w:tcPr>
          <w:p>
            <w:pPr>
              <w:spacing w:after="0" w:line="259" w:lineRule="auto"/>
              <w:jc w:val="left"/>
            </w:pPr>
            <w:r>
              <w:rPr>
                <w:rFonts w:hint="eastAsia" w:ascii="Noto Sans CJK SC" w:hAnsi="Noto Sans CJK SC" w:eastAsia="Noto Sans CJK SC"/>
                <w:b w:val="0"/>
                <w:color w:val="1F1F1F"/>
                <w:sz w:val="18"/>
              </w:rPr>
              <w:t>预约、抢购、P2P付款、上传凭证、获得短剧剧本交易权益、持有并到期再上架。</w:t>
            </w:r>
          </w:p>
        </w:tc>
      </w:tr>
      <w:tr>
        <w:trPr>
          <w:cantSplit w:val="1"/>
        </w:trPr>
        <w:tc>
          <w:tcPr>
            <w:tcW w:w="2160"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8"/>
              </w:rPr>
              <w:t>卖家</w:t>
            </w:r>
          </w:p>
        </w:tc>
        <w:tc>
          <w:tcPr>
            <w:tcW w:w="7632" w:type="dxa"/>
            <w:tcMar>
              <w:top w:w="100" w:type="dxa"/>
              <w:left w:w="110" w:type="dxa"/>
              <w:bottom w:w="100" w:type="dxa"/>
              <w:right w:w="110" w:type="dxa"/>
            </w:tcMar>
            <w:vAlign w:val="center"/>
          </w:tcPr>
          <w:p>
            <w:pPr>
              <w:spacing w:after="0" w:line="259" w:lineRule="auto"/>
              <w:jc w:val="left"/>
            </w:pPr>
            <w:r>
              <w:rPr>
                <w:rFonts w:hint="eastAsia" w:ascii="Noto Sans CJK SC" w:hAnsi="Noto Sans CJK SC" w:eastAsia="Noto Sans CJK SC"/>
                <w:b w:val="0"/>
                <w:color w:val="1F1F1F"/>
                <w:sz w:val="18"/>
              </w:rPr>
              <w:t>提供收款方式、核实到账、放行交易标的、完成权益转移并接受结算。</w:t>
            </w:r>
          </w:p>
        </w:tc>
      </w:tr>
      <w:tr>
        <w:trPr>
          <w:cantSplit w:val="1"/>
        </w:trPr>
        <w:tc>
          <w:tcPr>
            <w:tcW w:w="2160"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8"/>
              </w:rPr>
              <w:t>推荐人/代理</w:t>
            </w:r>
          </w:p>
        </w:tc>
        <w:tc>
          <w:tcPr>
            <w:tcW w:w="7632" w:type="dxa"/>
            <w:tcMar>
              <w:top w:w="100" w:type="dxa"/>
              <w:left w:w="110" w:type="dxa"/>
              <w:bottom w:w="100" w:type="dxa"/>
              <w:right w:w="110" w:type="dxa"/>
            </w:tcMar>
            <w:vAlign w:val="center"/>
          </w:tcPr>
          <w:p>
            <w:pPr>
              <w:spacing w:after="0" w:line="259" w:lineRule="auto"/>
              <w:jc w:val="left"/>
            </w:pPr>
            <w:r>
              <w:rPr>
                <w:rFonts w:hint="eastAsia" w:ascii="Noto Sans CJK SC" w:hAnsi="Noto Sans CJK SC" w:eastAsia="Noto Sans CJK SC"/>
                <w:b w:val="0"/>
                <w:color w:val="1F1F1F"/>
                <w:sz w:val="18"/>
              </w:rPr>
              <w:t>通过邀请关系形成最多10代的团队结构，按下级实际平台手续费获得返佣。</w:t>
            </w:r>
          </w:p>
        </w:tc>
      </w:tr>
      <w:tr>
        <w:trPr>
          <w:cantSplit w:val="1"/>
        </w:trPr>
        <w:tc>
          <w:tcPr>
            <w:tcW w:w="2160"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8"/>
              </w:rPr>
              <w:t>平台</w:t>
            </w:r>
          </w:p>
        </w:tc>
        <w:tc>
          <w:tcPr>
            <w:tcW w:w="7632" w:type="dxa"/>
            <w:tcMar>
              <w:top w:w="100" w:type="dxa"/>
              <w:left w:w="110" w:type="dxa"/>
              <w:bottom w:w="100" w:type="dxa"/>
              <w:right w:w="110" w:type="dxa"/>
            </w:tcMar>
            <w:vAlign w:val="center"/>
          </w:tcPr>
          <w:p>
            <w:pPr>
              <w:spacing w:after="0" w:line="259" w:lineRule="auto"/>
              <w:jc w:val="left"/>
            </w:pPr>
            <w:r>
              <w:rPr>
                <w:rFonts w:hint="eastAsia" w:ascii="Noto Sans CJK SC" w:hAnsi="Noto Sans CJK SC" w:eastAsia="Noto Sans CJK SC"/>
                <w:b w:val="0"/>
                <w:color w:val="1F1F1F"/>
                <w:sz w:val="18"/>
              </w:rPr>
              <w:t>管理剧本、专区、预约、抢购、P2P订单、钱包、自动上架、结算、风控、申诉和财务账本。</w:t>
            </w:r>
          </w:p>
        </w:tc>
      </w:tr>
      <w:tr>
        <w:trPr>
          <w:cantSplit w:val="1"/>
        </w:trPr>
        <w:tc>
          <w:tcPr>
            <w:tcW w:w="2160"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8"/>
              </w:rPr>
              <w:t>剧本方/版权方</w:t>
            </w:r>
          </w:p>
        </w:tc>
        <w:tc>
          <w:tcPr>
            <w:tcW w:w="7632" w:type="dxa"/>
            <w:tcMar>
              <w:top w:w="100" w:type="dxa"/>
              <w:left w:w="110" w:type="dxa"/>
              <w:bottom w:w="100" w:type="dxa"/>
              <w:right w:w="110" w:type="dxa"/>
            </w:tcMar>
            <w:vAlign w:val="center"/>
          </w:tcPr>
          <w:p>
            <w:pPr>
              <w:spacing w:after="0" w:line="259" w:lineRule="auto"/>
              <w:jc w:val="left"/>
            </w:pPr>
            <w:r>
              <w:rPr>
                <w:rFonts w:hint="eastAsia" w:ascii="Noto Sans CJK SC" w:hAnsi="Noto Sans CJK SC" w:eastAsia="Noto Sans CJK SC"/>
                <w:b w:val="0"/>
                <w:color w:val="1F1F1F"/>
                <w:sz w:val="18"/>
              </w:rPr>
              <w:t>提交剧本、提供权利文件、接受平台审核并参与首次发行或授权。</w:t>
            </w:r>
          </w:p>
        </w:tc>
      </w:tr>
    </w:tbl>
    <w:p>
      <w:pPr>
        <w:spacing w:after="20"/>
      </w:pPr>
    </w:p>
    <w:tbl>
      <w:tblPr>
        <w:tblStyle w:val="000049"/>
        <w:tblW w:w="0" w:type="auto"/>
        <w:jc w:val="center"/>
        <w:tblLayout w:type="fixed"/>
        <w:tblLook w:firstRow="1" w:lastRow="0" w:firstColumn="1" w:lastColumn="0" w:noHBand="0" w:noVBand="1" w:val="04A0"/>
      </w:tblPr>
      <w:tblGrid>
        <w:gridCol w:w="3389"/>
        <w:gridCol w:w="3389"/>
        <w:gridCol w:w="3389"/>
      </w:tblGrid>
      <w:tr>
        <w:trPr>
          <w:cantSplit w:val="1"/>
          <w:tblHeader w:val="1"/>
        </w:trPr>
        <w:tc>
          <w:tcPr>
            <w:tcW w:w="1944" w:type="dxa"/>
            <w:shd w:fill="1F4E78"/>
            <w:tcMar>
              <w:top w:w="120" w:type="dxa"/>
              <w:left w:w="110" w:type="dxa"/>
              <w:bottom w:w="120" w:type="dxa"/>
              <w:right w:w="110" w:type="dxa"/>
            </w:tcMar>
            <w:vAlign w:val="center"/>
          </w:tcPr>
          <w:p>
            <w:pPr>
              <w:spacing w:after="0" w:line="252" w:lineRule="auto"/>
              <w:jc w:val="center"/>
            </w:pPr>
            <w:r>
              <w:rPr>
                <w:rFonts w:hint="eastAsia" w:ascii="Noto Sans CJK SC" w:hAnsi="Noto Sans CJK SC" w:eastAsia="Noto Sans CJK SC"/>
                <w:b w:val="1"/>
                <w:color w:val="FFFFFF"/>
                <w:sz w:val="17"/>
              </w:rPr>
              <w:t>资产类型</w:t>
            </w:r>
          </w:p>
        </w:tc>
        <w:tc>
          <w:tcPr>
            <w:tcW w:w="3312" w:type="dxa"/>
            <w:shd w:fill="1F4E78"/>
            <w:tcMar>
              <w:top w:w="120" w:type="dxa"/>
              <w:left w:w="110" w:type="dxa"/>
              <w:bottom w:w="120" w:type="dxa"/>
              <w:right w:w="110" w:type="dxa"/>
            </w:tcMar>
            <w:vAlign w:val="center"/>
          </w:tcPr>
          <w:p>
            <w:pPr>
              <w:spacing w:after="0" w:line="252" w:lineRule="auto"/>
              <w:jc w:val="center"/>
            </w:pPr>
            <w:r>
              <w:rPr>
                <w:rFonts w:hint="eastAsia" w:ascii="Noto Sans CJK SC" w:hAnsi="Noto Sans CJK SC" w:eastAsia="Noto Sans CJK SC"/>
                <w:b w:val="1"/>
                <w:color w:val="FFFFFF"/>
                <w:sz w:val="17"/>
              </w:rPr>
              <w:t>业务理解</w:t>
            </w:r>
          </w:p>
        </w:tc>
        <w:tc>
          <w:tcPr>
            <w:tcW w:w="4464" w:type="dxa"/>
            <w:shd w:fill="1F4E78"/>
            <w:tcMar>
              <w:top w:w="120" w:type="dxa"/>
              <w:left w:w="110" w:type="dxa"/>
              <w:bottom w:w="120" w:type="dxa"/>
              <w:right w:w="110" w:type="dxa"/>
            </w:tcMar>
            <w:vAlign w:val="center"/>
          </w:tcPr>
          <w:p>
            <w:pPr>
              <w:spacing w:after="0" w:line="252" w:lineRule="auto"/>
              <w:jc w:val="center"/>
            </w:pPr>
            <w:r>
              <w:rPr>
                <w:rFonts w:hint="eastAsia" w:ascii="Noto Sans CJK SC" w:hAnsi="Noto Sans CJK SC" w:eastAsia="Noto Sans CJK SC"/>
                <w:b w:val="1"/>
                <w:color w:val="FFFFFF"/>
                <w:sz w:val="17"/>
              </w:rPr>
              <w:t>主要用途</w:t>
            </w:r>
          </w:p>
        </w:tc>
      </w:tr>
      <w:tr>
        <w:trPr>
          <w:cantSplit w:val="1"/>
        </w:trPr>
        <w:tc>
          <w:tcPr>
            <w:tcW w:w="1944"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7"/>
              </w:rPr>
              <w:t>Drama</w:t>
            </w:r>
          </w:p>
        </w:tc>
        <w:tc>
          <w:tcPr>
            <w:tcW w:w="3312"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约1 Drama</w:t>
            </w:r>
            <w:r>
              <w:rPr>
                <w:rFonts w:hint="eastAsia" w:ascii="Noto Sans CJK SC" w:hAnsi="Noto Sans CJK SC" w:eastAsia="Noto Sans CJK SC"/>
                <w:b w:val="0"/>
                <w:color w:val="1F1F1F"/>
                <w:sz w:val="17"/>
              </w:rPr>
              <w:t>≈¥1的业务计价单位</w:t>
            </w:r>
          </w:p>
        </w:tc>
        <w:tc>
          <w:tcPr>
            <w:tcW w:w="4464" w:type="dxa"/>
            <w:tcMar>
              <w:top w:w="100" w:type="dxa"/>
              <w:left w:w="110" w:type="dxa"/>
              <w:bottom w:w="100" w:type="dxa"/>
              <w:right w:w="110" w:type="dxa"/>
            </w:tcMar>
            <w:vAlign w:val="center"/>
          </w:tcPr>
          <w:p>
            <w:pPr>
              <w:spacing w:after="0" w:line="259" w:lineRule="auto"/>
              <w:jc w:val="left"/>
            </w:pPr>
            <w:r>
              <w:rPr>
                <w:rFonts w:hint="eastAsia" w:ascii="Noto Sans CJK SC" w:hAnsi="Noto Sans CJK SC" w:eastAsia="Noto Sans CJK SC"/>
                <w:b w:val="0"/>
                <w:color w:val="1F1F1F"/>
                <w:sz w:val="17"/>
              </w:rPr>
              <w:t>预约冻结、卖出上架、平台手续费、积分转换、代理佣金等</w:t>
            </w:r>
          </w:p>
        </w:tc>
      </w:tr>
      <w:tr>
        <w:trPr>
          <w:cantSplit w:val="1"/>
        </w:trPr>
        <w:tc>
          <w:tcPr>
            <w:tcW w:w="1944"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资产积分</w:t>
            </w:r>
          </w:p>
        </w:tc>
        <w:tc>
          <w:tcPr>
            <w:tcW w:w="3312"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增长金额的15%形成</w:t>
            </w:r>
          </w:p>
        </w:tc>
        <w:tc>
          <w:tcPr>
            <w:tcW w:w="4464" w:type="dxa"/>
            <w:tcMar>
              <w:top w:w="100" w:type="dxa"/>
              <w:left w:w="110" w:type="dxa"/>
              <w:bottom w:w="100" w:type="dxa"/>
              <w:right w:w="110" w:type="dxa"/>
            </w:tcMar>
            <w:vAlign w:val="center"/>
          </w:tcPr>
          <w:p>
            <w:pPr>
              <w:spacing w:after="0" w:line="259" w:lineRule="auto"/>
              <w:jc w:val="left"/>
            </w:pPr>
            <w:r>
              <w:rPr>
                <w:rFonts w:hint="eastAsia" w:ascii="Noto Sans CJK SC" w:hAnsi="Noto Sans CJK SC" w:eastAsia="Noto Sans CJK SC"/>
                <w:b w:val="0"/>
                <w:color w:val="1F1F1F"/>
                <w:sz w:val="17"/>
              </w:rPr>
              <w:t>后续兑换短剧/平台相关资产或服务，具体用途待最终确定</w:t>
            </w:r>
          </w:p>
        </w:tc>
      </w:tr>
      <w:tr>
        <w:trPr>
          <w:cantSplit w:val="1"/>
        </w:trPr>
        <w:tc>
          <w:tcPr>
            <w:tcW w:w="1944"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7"/>
              </w:rPr>
              <w:t>GIP</w:t>
            </w:r>
          </w:p>
        </w:tc>
        <w:tc>
          <w:tcPr>
            <w:tcW w:w="3312"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抢购成功/失败的奖励型资产</w:t>
            </w:r>
          </w:p>
        </w:tc>
        <w:tc>
          <w:tcPr>
            <w:tcW w:w="4464"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独立奖励与生态使用</w:t>
            </w:r>
          </w:p>
        </w:tc>
      </w:tr>
      <w:tr>
        <w:trPr>
          <w:cantSplit w:val="1"/>
        </w:trPr>
        <w:tc>
          <w:tcPr>
            <w:tcW w:w="1944"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权证积分（历史名）</w:t>
            </w:r>
          </w:p>
        </w:tc>
        <w:tc>
          <w:tcPr>
            <w:tcW w:w="3312"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旧界面中出现的积分概念</w:t>
            </w:r>
          </w:p>
        </w:tc>
        <w:tc>
          <w:tcPr>
            <w:tcW w:w="4464"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因标的已改为短剧剧本，建议重命名或取消</w:t>
            </w:r>
          </w:p>
        </w:tc>
      </w:tr>
    </w:tbl>
    <w:p>
      <w:pPr>
        <w:spacing w:after="20"/>
      </w:pPr>
    </w:p>
    <w:p>
      <w:pPr>
        <w:pStyle w:val="000008"/>
      </w:pPr>
      <w:r>
        <w:rPr>
          <w:rFonts w:hint="eastAsia" w:ascii="Noto Sans CJK SC" w:hAnsi="Noto Sans CJK SC" w:eastAsia="Noto Sans CJK SC"/>
          <w:b w:val="0"/>
          <w:sz w:val="21"/>
        </w:rPr>
        <w:t>4. 普通区/创新区及价格增长规则</w:t>
      </w:r>
    </w:p>
    <w:tbl>
      <w:tblPr>
        <w:tblStyle w:val="000049"/>
        <w:tblW w:w="0" w:type="auto"/>
        <w:jc w:val="center"/>
        <w:tblLayout w:type="fixed"/>
        <w:tblLook w:firstRow="1" w:lastRow="0" w:firstColumn="1" w:lastColumn="0" w:noHBand="0" w:noVBand="1" w:val="04A0"/>
      </w:tblPr>
      <w:tblGrid>
        <w:gridCol w:w="2033"/>
        <w:gridCol w:w="2033"/>
        <w:gridCol w:w="2033"/>
        <w:gridCol w:w="2033"/>
        <w:gridCol w:w="2033"/>
      </w:tblGrid>
      <w:tr>
        <w:trPr>
          <w:cantSplit w:val="1"/>
          <w:tblHeader w:val="1"/>
        </w:trPr>
        <w:tc>
          <w:tcPr>
            <w:tcW w:w="1872" w:type="dxa"/>
            <w:shd w:fill="1F4E78"/>
            <w:tcMar>
              <w:top w:w="120" w:type="dxa"/>
              <w:left w:w="110" w:type="dxa"/>
              <w:bottom w:w="120" w:type="dxa"/>
              <w:right w:w="110" w:type="dxa"/>
            </w:tcMar>
            <w:vAlign w:val="center"/>
          </w:tcPr>
          <w:p>
            <w:pPr>
              <w:spacing w:after="0" w:line="252" w:lineRule="auto"/>
              <w:jc w:val="center"/>
            </w:pPr>
            <w:r>
              <w:rPr>
                <w:rFonts w:hint="eastAsia" w:ascii="Noto Sans CJK SC" w:hAnsi="Noto Sans CJK SC" w:eastAsia="Noto Sans CJK SC"/>
                <w:b w:val="1"/>
                <w:color w:val="FFFFFF"/>
                <w:sz w:val="18"/>
              </w:rPr>
              <w:t>专区</w:t>
            </w:r>
          </w:p>
        </w:tc>
        <w:tc>
          <w:tcPr>
            <w:tcW w:w="1944" w:type="dxa"/>
            <w:shd w:fill="1F4E78"/>
            <w:tcMar>
              <w:top w:w="120" w:type="dxa"/>
              <w:left w:w="110" w:type="dxa"/>
              <w:bottom w:w="120" w:type="dxa"/>
              <w:right w:w="110" w:type="dxa"/>
            </w:tcMar>
            <w:vAlign w:val="center"/>
          </w:tcPr>
          <w:p>
            <w:pPr>
              <w:spacing w:after="0" w:line="252" w:lineRule="auto"/>
              <w:jc w:val="center"/>
            </w:pPr>
            <w:r>
              <w:rPr>
                <w:rFonts w:hint="eastAsia" w:ascii="Noto Sans CJK SC" w:hAnsi="Noto Sans CJK SC" w:eastAsia="Noto Sans CJK SC"/>
                <w:b w:val="1"/>
                <w:color w:val="FFFFFF"/>
                <w:sz w:val="18"/>
              </w:rPr>
              <w:t>日增长率</w:t>
            </w:r>
          </w:p>
        </w:tc>
        <w:tc>
          <w:tcPr>
            <w:tcW w:w="2160" w:type="dxa"/>
            <w:shd w:fill="1F4E78"/>
            <w:tcMar>
              <w:top w:w="120" w:type="dxa"/>
              <w:left w:w="110" w:type="dxa"/>
              <w:bottom w:w="120" w:type="dxa"/>
              <w:right w:w="110" w:type="dxa"/>
            </w:tcMar>
            <w:vAlign w:val="center"/>
          </w:tcPr>
          <w:p>
            <w:pPr>
              <w:spacing w:after="0" w:line="252" w:lineRule="auto"/>
              <w:jc w:val="center"/>
            </w:pPr>
            <w:r>
              <w:rPr>
                <w:rFonts w:hint="eastAsia" w:ascii="Noto Sans CJK SC" w:hAnsi="Noto Sans CJK SC" w:eastAsia="Noto Sans CJK SC"/>
                <w:b w:val="1"/>
                <w:color w:val="FFFFFF"/>
                <w:sz w:val="18"/>
              </w:rPr>
              <w:t>用户现金收益率</w:t>
            </w:r>
          </w:p>
        </w:tc>
        <w:tc>
          <w:tcPr>
            <w:tcW w:w="2160" w:type="dxa"/>
            <w:shd w:fill="1F4E78"/>
            <w:tcMar>
              <w:top w:w="120" w:type="dxa"/>
              <w:left w:w="110" w:type="dxa"/>
              <w:bottom w:w="120" w:type="dxa"/>
              <w:right w:w="110" w:type="dxa"/>
            </w:tcMar>
            <w:vAlign w:val="center"/>
          </w:tcPr>
          <w:p>
            <w:pPr>
              <w:spacing w:after="0" w:line="252" w:lineRule="auto"/>
              <w:jc w:val="center"/>
            </w:pPr>
            <w:r>
              <w:rPr>
                <w:rFonts w:hint="eastAsia" w:ascii="Noto Sans CJK SC" w:hAnsi="Noto Sans CJK SC" w:eastAsia="Noto Sans CJK SC"/>
                <w:b w:val="1"/>
                <w:color w:val="FFFFFF"/>
                <w:sz w:val="18"/>
              </w:rPr>
              <w:t>资产积分收益率</w:t>
            </w:r>
          </w:p>
        </w:tc>
        <w:tc>
          <w:tcPr>
            <w:tcW w:w="2232" w:type="dxa"/>
            <w:shd w:fill="1F4E78"/>
            <w:tcMar>
              <w:top w:w="120" w:type="dxa"/>
              <w:left w:w="110" w:type="dxa"/>
              <w:bottom w:w="120" w:type="dxa"/>
              <w:right w:w="110" w:type="dxa"/>
            </w:tcMar>
            <w:vAlign w:val="center"/>
          </w:tcPr>
          <w:p>
            <w:pPr>
              <w:spacing w:after="0" w:line="252" w:lineRule="auto"/>
              <w:jc w:val="center"/>
            </w:pPr>
            <w:r>
              <w:rPr>
                <w:rFonts w:hint="eastAsia" w:ascii="Noto Sans CJK SC" w:hAnsi="Noto Sans CJK SC" w:eastAsia="Noto Sans CJK SC"/>
                <w:b w:val="1"/>
                <w:color w:val="FFFFFF"/>
                <w:sz w:val="18"/>
              </w:rPr>
              <w:t>综合经济价值率</w:t>
            </w:r>
          </w:p>
        </w:tc>
      </w:tr>
      <w:tr>
        <w:trPr>
          <w:cantSplit w:val="1"/>
        </w:trPr>
        <w:tc>
          <w:tcPr>
            <w:tcW w:w="1872"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8"/>
              </w:rPr>
              <w:t>普通区</w:t>
            </w:r>
          </w:p>
        </w:tc>
        <w:tc>
          <w:tcPr>
            <w:tcW w:w="1944"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8"/>
              </w:rPr>
              <w:t>2%</w:t>
            </w:r>
          </w:p>
        </w:tc>
        <w:tc>
          <w:tcPr>
            <w:tcW w:w="2160"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8"/>
              </w:rPr>
              <w:t>0.30%</w:t>
            </w:r>
          </w:p>
        </w:tc>
        <w:tc>
          <w:tcPr>
            <w:tcW w:w="2160"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8"/>
              </w:rPr>
              <w:t>0.30%</w:t>
            </w:r>
          </w:p>
        </w:tc>
        <w:tc>
          <w:tcPr>
            <w:tcW w:w="2232"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8"/>
              </w:rPr>
              <w:t>0.60%</w:t>
            </w:r>
          </w:p>
        </w:tc>
      </w:tr>
      <w:tr>
        <w:trPr>
          <w:cantSplit w:val="1"/>
        </w:trPr>
        <w:tc>
          <w:tcPr>
            <w:tcW w:w="1872"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8"/>
              </w:rPr>
              <w:t>创新区</w:t>
            </w:r>
          </w:p>
        </w:tc>
        <w:tc>
          <w:tcPr>
            <w:tcW w:w="1944"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8"/>
              </w:rPr>
              <w:t>3%</w:t>
            </w:r>
          </w:p>
        </w:tc>
        <w:tc>
          <w:tcPr>
            <w:tcW w:w="2160"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8"/>
              </w:rPr>
              <w:t>0.45%</w:t>
            </w:r>
          </w:p>
        </w:tc>
        <w:tc>
          <w:tcPr>
            <w:tcW w:w="2160"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8"/>
              </w:rPr>
              <w:t>0.45%</w:t>
            </w:r>
          </w:p>
        </w:tc>
        <w:tc>
          <w:tcPr>
            <w:tcW w:w="2232"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8"/>
              </w:rPr>
              <w:t>0.90%</w:t>
            </w:r>
          </w:p>
        </w:tc>
      </w:tr>
    </w:tbl>
    <w:p>
      <w:pPr>
        <w:spacing w:after="20"/>
      </w:pPr>
    </w:p>
    <w:tbl>
      <w:tblPr>
        <w:tblW w:w="0" w:type="auto"/>
        <w:jc w:val="center"/>
        <w:tblLayout w:type="fixed"/>
        <w:tblLook w:firstRow="1" w:lastRow="0" w:firstColumn="1" w:lastColumn="0" w:noHBand="0" w:noVBand="1" w:val="04A0"/>
      </w:tblPr>
      <w:tblGrid>
        <w:gridCol w:w="5083"/>
        <w:gridCol w:w="5083"/>
      </w:tblGrid>
      <w:tr>
        <w:trPr>
          <w:cantSplit w:val="1"/>
        </w:trPr>
        <w:tc>
          <w:tcPr>
            <w:tcW w:w="2376" w:type="dxa"/>
            <w:shd w:fill="EAF2F8"/>
            <w:tcMar>
              <w:top w:w="110" w:type="dxa"/>
              <w:left w:w="120" w:type="dxa"/>
              <w:bottom w:w="110" w:type="dxa"/>
              <w:right w:w="120" w:type="dxa"/>
            </w:tcMar>
            <w:vAlign w:val="center"/>
          </w:tcPr>
          <w:p>
            <w:pPr>
              <w:jc w:val="center"/>
            </w:pPr>
            <w:r>
              <w:rPr>
                <w:rFonts w:hint="eastAsia" w:ascii="Noto Sans CJK SC" w:hAnsi="Noto Sans CJK SC" w:eastAsia="Noto Sans CJK SC"/>
                <w:b w:val="1"/>
                <w:color w:val="1F4E78"/>
                <w:sz w:val="19"/>
              </w:rPr>
              <w:t>总增长</w:t>
            </w:r>
          </w:p>
        </w:tc>
        <w:tc>
          <w:tcPr>
            <w:tcW w:w="7560" w:type="dxa"/>
            <w:tcMar>
              <w:top w:w="110" w:type="dxa"/>
              <w:left w:w="120" w:type="dxa"/>
              <w:bottom w:w="110" w:type="dxa"/>
              <w:right w:w="120" w:type="dxa"/>
            </w:tcMar>
            <w:vAlign w:val="center"/>
          </w:tcPr>
          <w:p>
            <w:r>
              <w:rPr>
                <w:rFonts w:hint="eastAsia" w:ascii="Noto Sans CJK SC" w:hAnsi="Noto Sans CJK SC" w:eastAsia="Noto Sans CJK SC"/>
                <w:b w:val="1"/>
                <w:color w:val="1F1F1F"/>
                <w:sz w:val="20"/>
              </w:rPr>
              <w:t>G = 本金 × 增长率</w:t>
            </w:r>
          </w:p>
        </w:tc>
      </w:tr>
    </w:tbl>
    <w:p>
      <w:pPr>
        <w:spacing w:after="20"/>
      </w:pPr>
    </w:p>
    <w:tbl>
      <w:tblPr>
        <w:tblW w:w="0" w:type="auto"/>
        <w:jc w:val="center"/>
        <w:tblLayout w:type="fixed"/>
        <w:tblLook w:firstRow="1" w:lastRow="0" w:firstColumn="1" w:lastColumn="0" w:noHBand="0" w:noVBand="1" w:val="04A0"/>
      </w:tblPr>
      <w:tblGrid>
        <w:gridCol w:w="5083"/>
        <w:gridCol w:w="5083"/>
      </w:tblGrid>
      <w:tr>
        <w:trPr>
          <w:cantSplit w:val="1"/>
        </w:trPr>
        <w:tc>
          <w:tcPr>
            <w:tcW w:w="2376" w:type="dxa"/>
            <w:shd w:fill="EAF2F8"/>
            <w:tcMar>
              <w:top w:w="110" w:type="dxa"/>
              <w:left w:w="120" w:type="dxa"/>
              <w:bottom w:w="110" w:type="dxa"/>
              <w:right w:w="120" w:type="dxa"/>
            </w:tcMar>
            <w:vAlign w:val="center"/>
          </w:tcPr>
          <w:p>
            <w:pPr>
              <w:jc w:val="center"/>
            </w:pPr>
            <w:r>
              <w:rPr>
                <w:rFonts w:hint="eastAsia" w:ascii="Noto Sans CJK SC" w:hAnsi="Noto Sans CJK SC" w:eastAsia="Noto Sans CJK SC"/>
                <w:b w:val="1"/>
                <w:color w:val="1F4E78"/>
                <w:sz w:val="19"/>
              </w:rPr>
              <w:t>下一成交价</w:t>
            </w:r>
          </w:p>
        </w:tc>
        <w:tc>
          <w:tcPr>
            <w:tcW w:w="7560" w:type="dxa"/>
            <w:tcMar>
              <w:top w:w="110" w:type="dxa"/>
              <w:left w:w="120" w:type="dxa"/>
              <w:bottom w:w="110" w:type="dxa"/>
              <w:right w:w="120" w:type="dxa"/>
            </w:tcMar>
            <w:vAlign w:val="center"/>
          </w:tcPr>
          <w:p>
            <w:r>
              <w:rPr>
                <w:rFonts w:hint="eastAsia" w:ascii="Noto Sans CJK SC" w:hAnsi="Noto Sans CJK SC" w:eastAsia="Noto Sans CJK SC"/>
                <w:b w:val="1"/>
                <w:color w:val="1F1F1F"/>
                <w:sz w:val="20"/>
              </w:rPr>
              <w:t>下一成交价 = 当前成交价 + G = 当前成交价 × (1 + 增长率)</w:t>
            </w:r>
          </w:p>
        </w:tc>
      </w:tr>
    </w:tbl>
    <w:p>
      <w:pPr>
        <w:spacing w:after="20"/>
      </w:pPr>
    </w:p>
    <w:p>
      <w:pPr>
        <w:spacing w:after="120" w:line="307" w:lineRule="auto"/>
      </w:pPr>
      <w:r>
        <w:rPr>
          <w:rFonts w:hint="eastAsia" w:ascii="Noto Sans CJK SC" w:hAnsi="Noto Sans CJK SC" w:eastAsia="Noto Sans CJK SC"/>
          <w:b w:val="0"/>
          <w:sz w:val="21"/>
        </w:rPr>
        <w:t>对于7天产品，现有历史案例更接近每日复利，即 Pn = P0 × (1+r)^n。建议所有周期产品均由规则配置决定是否复利，并在订单创建时保存规则快照。</w:t>
      </w:r>
    </w:p>
    <w:p>
      <w:pPr>
        <w:pStyle w:val="000008"/>
      </w:pPr>
      <w:r>
        <w:rPr>
          <w:rFonts w:hint="eastAsia" w:ascii="Noto Sans CJK SC" w:hAnsi="Noto Sans CJK SC" w:eastAsia="Noto Sans CJK SC"/>
          <w:b w:val="0"/>
          <w:sz w:val="21"/>
        </w:rPr>
        <w:t>5. 增长拆分、Drama</w:t>
      </w:r>
      <w:r>
        <w:rPr>
          <w:rFonts w:hint="eastAsia" w:ascii="Noto Sans CJK SC" w:hAnsi="Noto Sans CJK SC" w:eastAsia="Noto Sans CJK SC"/>
          <w:b w:val="0"/>
          <w:sz w:val="21"/>
        </w:rPr>
        <w:t>与用户收益模型</w:t>
      </w:r>
    </w:p>
    <w:tbl>
      <w:tblPr>
        <w:tblW w:w="0" w:type="auto"/>
        <w:jc w:val="center"/>
        <w:tblLayout w:type="fixed"/>
        <w:tblLook w:firstRow="1" w:lastRow="0" w:firstColumn="1" w:lastColumn="0" w:noHBand="0" w:noVBand="1" w:val="04A0"/>
      </w:tblPr>
      <w:tblGrid>
        <w:gridCol w:w="5083"/>
        <w:gridCol w:w="5083"/>
      </w:tblGrid>
      <w:tr>
        <w:trPr>
          <w:cantSplit w:val="1"/>
        </w:trPr>
        <w:tc>
          <w:tcPr>
            <w:tcW w:w="2376" w:type="dxa"/>
            <w:shd w:fill="EAF2F8"/>
            <w:tcMar>
              <w:top w:w="110" w:type="dxa"/>
              <w:left w:w="120" w:type="dxa"/>
              <w:bottom w:w="110" w:type="dxa"/>
              <w:right w:w="120" w:type="dxa"/>
            </w:tcMar>
            <w:vAlign w:val="center"/>
          </w:tcPr>
          <w:p>
            <w:pPr>
              <w:jc w:val="center"/>
            </w:pPr>
            <w:r>
              <w:rPr>
                <w:rFonts w:hint="eastAsia" w:ascii="Noto Sans CJK SC" w:hAnsi="Noto Sans CJK SC" w:eastAsia="Noto Sans CJK SC"/>
                <w:b w:val="1"/>
                <w:color w:val="1F4E78"/>
                <w:sz w:val="19"/>
              </w:rPr>
              <w:t>平台手续费</w:t>
            </w:r>
          </w:p>
        </w:tc>
        <w:tc>
          <w:tcPr>
            <w:tcW w:w="7560" w:type="dxa"/>
            <w:tcMar>
              <w:top w:w="110" w:type="dxa"/>
              <w:left w:w="120" w:type="dxa"/>
              <w:bottom w:w="110" w:type="dxa"/>
              <w:right w:w="120" w:type="dxa"/>
            </w:tcMar>
            <w:vAlign w:val="center"/>
          </w:tcPr>
          <w:p>
            <w:r>
              <w:rPr>
                <w:rFonts w:ascii="Noto Sans CJK SC" w:hAnsi="Noto Sans CJK SC" w:eastAsia="Noto Sans CJK SC"/>
                <w:b w:val="1"/>
                <w:color w:val="1F1F1F"/>
                <w:sz w:val="20"/>
              </w:rPr>
              <w:t>F = G × 70%</w:t>
            </w:r>
            <w:r>
              <w:rPr>
                <w:rFonts w:ascii="Noto Sans CJK SC" w:hAnsi="Noto Sans CJK SC" w:eastAsia="Noto Sans CJK SC"/>
                <w:b w:val="0"/>
                <w:color w:val="666666"/>
                <w:sz w:val="17"/>
              </w:rPr>
              <w:br w:type="textWrapping"/>
            </w:r>
            <w:r>
              <w:rPr>
                <w:rFonts w:hint="eastAsia" w:ascii="Noto Sans CJK SC" w:hAnsi="Noto Sans CJK SC" w:eastAsia="Noto Sans CJK SC"/>
                <w:b w:val="0"/>
                <w:color w:val="666666"/>
                <w:sz w:val="17"/>
              </w:rPr>
              <w:t>这是代理佣金的唯一返佣基数。</w:t>
            </w:r>
          </w:p>
        </w:tc>
      </w:tr>
    </w:tbl>
    <w:p>
      <w:pPr>
        <w:spacing w:after="20"/>
      </w:pPr>
    </w:p>
    <w:tbl>
      <w:tblPr>
        <w:tblW w:w="0" w:type="auto"/>
        <w:jc w:val="center"/>
        <w:tblLayout w:type="fixed"/>
        <w:tblLook w:firstRow="1" w:lastRow="0" w:firstColumn="1" w:lastColumn="0" w:noHBand="0" w:noVBand="1" w:val="04A0"/>
      </w:tblPr>
      <w:tblGrid>
        <w:gridCol w:w="5083"/>
        <w:gridCol w:w="5083"/>
      </w:tblGrid>
      <w:tr>
        <w:trPr>
          <w:cantSplit w:val="1"/>
        </w:trPr>
        <w:tc>
          <w:tcPr>
            <w:tcW w:w="2376" w:type="dxa"/>
            <w:shd w:fill="EAF2F8"/>
            <w:tcMar>
              <w:top w:w="110" w:type="dxa"/>
              <w:left w:w="120" w:type="dxa"/>
              <w:bottom w:w="110" w:type="dxa"/>
              <w:right w:w="120" w:type="dxa"/>
            </w:tcMar>
            <w:vAlign w:val="center"/>
          </w:tcPr>
          <w:p>
            <w:pPr>
              <w:jc w:val="center"/>
            </w:pPr>
            <w:r>
              <w:rPr>
                <w:rFonts w:hint="eastAsia" w:ascii="Noto Sans CJK SC" w:hAnsi="Noto Sans CJK SC" w:eastAsia="Noto Sans CJK SC"/>
                <w:b w:val="1"/>
                <w:color w:val="1F4E78"/>
                <w:sz w:val="19"/>
              </w:rPr>
              <w:t>现金收益</w:t>
            </w:r>
          </w:p>
        </w:tc>
        <w:tc>
          <w:tcPr>
            <w:tcW w:w="7560" w:type="dxa"/>
            <w:tcMar>
              <w:top w:w="110" w:type="dxa"/>
              <w:left w:w="120" w:type="dxa"/>
              <w:bottom w:w="110" w:type="dxa"/>
              <w:right w:w="120" w:type="dxa"/>
            </w:tcMar>
            <w:vAlign w:val="center"/>
          </w:tcPr>
          <w:p>
            <w:r>
              <w:rPr>
                <w:rFonts w:ascii="Noto Sans CJK SC" w:hAnsi="Noto Sans CJK SC" w:eastAsia="Noto Sans CJK SC"/>
                <w:b w:val="1"/>
                <w:color w:val="1F1F1F"/>
                <w:sz w:val="20"/>
              </w:rPr>
              <w:t>C = G × 15%</w:t>
            </w:r>
          </w:p>
        </w:tc>
      </w:tr>
    </w:tbl>
    <w:p>
      <w:pPr>
        <w:spacing w:after="20"/>
      </w:pPr>
    </w:p>
    <w:tbl>
      <w:tblPr>
        <w:tblW w:w="0" w:type="auto"/>
        <w:jc w:val="center"/>
        <w:tblLayout w:type="fixed"/>
        <w:tblLook w:firstRow="1" w:lastRow="0" w:firstColumn="1" w:lastColumn="0" w:noHBand="0" w:noVBand="1" w:val="04A0"/>
      </w:tblPr>
      <w:tblGrid>
        <w:gridCol w:w="5083"/>
        <w:gridCol w:w="5083"/>
      </w:tblGrid>
      <w:tr>
        <w:trPr>
          <w:cantSplit w:val="1"/>
        </w:trPr>
        <w:tc>
          <w:tcPr>
            <w:tcW w:w="2376" w:type="dxa"/>
            <w:shd w:fill="EAF2F8"/>
            <w:tcMar>
              <w:top w:w="110" w:type="dxa"/>
              <w:left w:w="120" w:type="dxa"/>
              <w:bottom w:w="110" w:type="dxa"/>
              <w:right w:w="120" w:type="dxa"/>
            </w:tcMar>
            <w:vAlign w:val="center"/>
          </w:tcPr>
          <w:p>
            <w:pPr>
              <w:jc w:val="center"/>
            </w:pPr>
            <w:r>
              <w:rPr>
                <w:rFonts w:hint="eastAsia" w:ascii="Noto Sans CJK SC" w:hAnsi="Noto Sans CJK SC" w:eastAsia="Noto Sans CJK SC"/>
                <w:b w:val="1"/>
                <w:color w:val="1F4E78"/>
                <w:sz w:val="19"/>
              </w:rPr>
              <w:t>资产积分</w:t>
            </w:r>
          </w:p>
        </w:tc>
        <w:tc>
          <w:tcPr>
            <w:tcW w:w="7560" w:type="dxa"/>
            <w:tcMar>
              <w:top w:w="110" w:type="dxa"/>
              <w:left w:w="120" w:type="dxa"/>
              <w:bottom w:w="110" w:type="dxa"/>
              <w:right w:w="120" w:type="dxa"/>
            </w:tcMar>
            <w:vAlign w:val="center"/>
          </w:tcPr>
          <w:p>
            <w:r>
              <w:rPr>
                <w:rFonts w:ascii="Noto Sans CJK SC" w:hAnsi="Noto Sans CJK SC" w:eastAsia="Noto Sans CJK SC"/>
                <w:b w:val="1"/>
                <w:color w:val="1F1F1F"/>
                <w:sz w:val="20"/>
              </w:rPr>
              <w:t>I = G × 15%</w:t>
            </w:r>
          </w:p>
        </w:tc>
      </w:tr>
    </w:tbl>
    <w:p>
      <w:pPr>
        <w:spacing w:after="20"/>
      </w:pPr>
    </w:p>
    <w:tbl>
      <w:tblPr>
        <w:tblW w:w="0" w:type="auto"/>
        <w:jc w:val="center"/>
        <w:tblLayout w:type="fixed"/>
        <w:tblLook w:firstRow="1" w:lastRow="0" w:firstColumn="1" w:lastColumn="0" w:noHBand="0" w:noVBand="1" w:val="04A0"/>
      </w:tblPr>
      <w:tblGrid>
        <w:gridCol w:w="5083"/>
        <w:gridCol w:w="5083"/>
      </w:tblGrid>
      <w:tr>
        <w:trPr>
          <w:cantSplit w:val="1"/>
        </w:trPr>
        <w:tc>
          <w:tcPr>
            <w:tcW w:w="2376" w:type="dxa"/>
            <w:shd w:fill="EAF2F8"/>
            <w:tcMar>
              <w:top w:w="110" w:type="dxa"/>
              <w:left w:w="120" w:type="dxa"/>
              <w:bottom w:w="110" w:type="dxa"/>
              <w:right w:w="120" w:type="dxa"/>
            </w:tcMar>
            <w:vAlign w:val="center"/>
          </w:tcPr>
          <w:p>
            <w:pPr>
              <w:jc w:val="center"/>
            </w:pPr>
            <w:r>
              <w:rPr>
                <w:rFonts w:hint="eastAsia" w:ascii="Noto Sans CJK SC" w:hAnsi="Noto Sans CJK SC" w:eastAsia="Noto Sans CJK SC"/>
                <w:b w:val="1"/>
                <w:color w:val="1F4E78"/>
                <w:sz w:val="19"/>
              </w:rPr>
              <w:t>卖出Drama</w:t>
            </w:r>
            <w:r>
              <w:rPr>
                <w:rFonts w:hint="eastAsia" w:ascii="Noto Sans CJK SC" w:hAnsi="Noto Sans CJK SC" w:eastAsia="Noto Sans CJK SC"/>
                <w:b w:val="1"/>
                <w:color w:val="1F4E78"/>
                <w:sz w:val="19"/>
              </w:rPr>
              <w:t>总占用</w:t>
            </w:r>
          </w:p>
        </w:tc>
        <w:tc>
          <w:tcPr>
            <w:tcW w:w="7560" w:type="dxa"/>
            <w:tcMar>
              <w:top w:w="110" w:type="dxa"/>
              <w:left w:w="120" w:type="dxa"/>
              <w:bottom w:w="110" w:type="dxa"/>
              <w:right w:w="120" w:type="dxa"/>
            </w:tcMar>
            <w:vAlign w:val="center"/>
          </w:tcPr>
          <w:p>
            <w:r>
              <w:rPr>
                <w:rFonts w:ascii="Noto Sans CJK SC" w:hAnsi="Noto Sans CJK SC" w:eastAsia="Noto Sans CJK SC"/>
                <w:b w:val="1"/>
                <w:color w:val="1F1F1F"/>
                <w:sz w:val="20"/>
              </w:rPr>
              <w:t>D = G × 85%</w:t>
            </w:r>
            <w:r>
              <w:rPr>
                <w:rFonts w:ascii="Noto Sans CJK SC" w:hAnsi="Noto Sans CJK SC" w:eastAsia="Noto Sans CJK SC"/>
                <w:b w:val="0"/>
                <w:color w:val="666666"/>
                <w:sz w:val="17"/>
              </w:rPr>
              <w:br w:type="textWrapping"/>
            </w:r>
            <w:r>
              <w:rPr>
                <w:rFonts w:hint="eastAsia" w:ascii="Noto Sans CJK SC" w:hAnsi="Noto Sans CJK SC" w:eastAsia="Noto Sans CJK SC"/>
                <w:b w:val="0"/>
                <w:color w:val="666666"/>
                <w:sz w:val="17"/>
              </w:rPr>
              <w:t>其中70%为平台手续费，15%对应资产积分转换。</w:t>
            </w:r>
          </w:p>
        </w:tc>
      </w:tr>
    </w:tbl>
    <w:p>
      <w:pPr>
        <w:spacing w:after="20"/>
      </w:pPr>
    </w:p>
    <w:tbl>
      <w:tblPr>
        <w:tblStyle w:val="000049"/>
        <w:tblW w:w="0" w:type="auto"/>
        <w:jc w:val="center"/>
        <w:tblLayout w:type="fixed"/>
        <w:tblLook w:firstRow="1" w:lastRow="0" w:firstColumn="1" w:lastColumn="0" w:noHBand="0" w:noVBand="1" w:val="04A0"/>
      </w:tblPr>
      <w:tblGrid>
        <w:gridCol w:w="3389"/>
        <w:gridCol w:w="3389"/>
        <w:gridCol w:w="3389"/>
      </w:tblGrid>
      <w:tr>
        <w:trPr>
          <w:cantSplit w:val="1"/>
          <w:tblHeader w:val="1"/>
        </w:trPr>
        <w:tc>
          <w:tcPr>
            <w:tcW w:w="3312" w:type="dxa"/>
            <w:shd w:fill="1F4E78"/>
            <w:tcMar>
              <w:top w:w="120" w:type="dxa"/>
              <w:left w:w="110" w:type="dxa"/>
              <w:bottom w:w="120" w:type="dxa"/>
              <w:right w:w="110" w:type="dxa"/>
            </w:tcMar>
            <w:vAlign w:val="center"/>
          </w:tcPr>
          <w:p>
            <w:pPr>
              <w:spacing w:after="0" w:line="252" w:lineRule="auto"/>
              <w:jc w:val="center"/>
            </w:pPr>
            <w:r>
              <w:rPr>
                <w:rFonts w:hint="eastAsia" w:ascii="Noto Sans CJK SC" w:hAnsi="Noto Sans CJK SC" w:eastAsia="Noto Sans CJK SC"/>
                <w:b w:val="1"/>
                <w:color w:val="FFFFFF"/>
                <w:sz w:val="17"/>
              </w:rPr>
              <w:t>创新区¥10,000 / 1日案例</w:t>
            </w:r>
          </w:p>
        </w:tc>
        <w:tc>
          <w:tcPr>
            <w:tcW w:w="3312" w:type="dxa"/>
            <w:shd w:fill="1F4E78"/>
            <w:tcMar>
              <w:top w:w="120" w:type="dxa"/>
              <w:left w:w="110" w:type="dxa"/>
              <w:bottom w:w="120" w:type="dxa"/>
              <w:right w:w="110" w:type="dxa"/>
            </w:tcMar>
            <w:vAlign w:val="center"/>
          </w:tcPr>
          <w:p>
            <w:pPr>
              <w:spacing w:after="0" w:line="252" w:lineRule="auto"/>
              <w:jc w:val="center"/>
            </w:pPr>
            <w:r>
              <w:rPr>
                <w:rFonts w:hint="eastAsia" w:ascii="Noto Sans CJK SC" w:hAnsi="Noto Sans CJK SC" w:eastAsia="Noto Sans CJK SC"/>
                <w:b w:val="1"/>
                <w:color w:val="FFFFFF"/>
                <w:sz w:val="17"/>
              </w:rPr>
              <w:t>计算</w:t>
            </w:r>
          </w:p>
        </w:tc>
        <w:tc>
          <w:tcPr>
            <w:tcW w:w="3312" w:type="dxa"/>
            <w:shd w:fill="1F4E78"/>
            <w:tcMar>
              <w:top w:w="120" w:type="dxa"/>
              <w:left w:w="110" w:type="dxa"/>
              <w:bottom w:w="120" w:type="dxa"/>
              <w:right w:w="110" w:type="dxa"/>
            </w:tcMar>
            <w:vAlign w:val="center"/>
          </w:tcPr>
          <w:p>
            <w:pPr>
              <w:spacing w:after="0" w:line="252" w:lineRule="auto"/>
              <w:jc w:val="center"/>
            </w:pPr>
            <w:r>
              <w:rPr>
                <w:rFonts w:hint="eastAsia" w:ascii="Noto Sans CJK SC" w:hAnsi="Noto Sans CJK SC" w:eastAsia="Noto Sans CJK SC"/>
                <w:b w:val="1"/>
                <w:color w:val="FFFFFF"/>
                <w:sz w:val="17"/>
              </w:rPr>
              <w:t>结果</w:t>
            </w:r>
          </w:p>
        </w:tc>
      </w:tr>
      <w:tr>
        <w:trPr>
          <w:cantSplit w:val="1"/>
        </w:trPr>
        <w:tc>
          <w:tcPr>
            <w:tcW w:w="3312"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总增长</w:t>
            </w:r>
          </w:p>
        </w:tc>
        <w:tc>
          <w:tcPr>
            <w:tcW w:w="3312"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7"/>
              </w:rPr>
              <w:t>10,000 × 3%</w:t>
            </w:r>
          </w:p>
        </w:tc>
        <w:tc>
          <w:tcPr>
            <w:tcW w:w="3312"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7"/>
              </w:rPr>
              <w:t>¥300</w:t>
            </w:r>
          </w:p>
        </w:tc>
      </w:tr>
      <w:tr>
        <w:trPr>
          <w:cantSplit w:val="1"/>
        </w:trPr>
        <w:tc>
          <w:tcPr>
            <w:tcW w:w="3312"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下一成交价</w:t>
            </w:r>
          </w:p>
        </w:tc>
        <w:tc>
          <w:tcPr>
            <w:tcW w:w="3312"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7"/>
              </w:rPr>
              <w:t>10,000 + 300</w:t>
            </w:r>
          </w:p>
        </w:tc>
        <w:tc>
          <w:tcPr>
            <w:tcW w:w="3312"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7"/>
              </w:rPr>
              <w:t>¥10,300</w:t>
            </w:r>
          </w:p>
        </w:tc>
      </w:tr>
      <w:tr>
        <w:trPr>
          <w:cantSplit w:val="1"/>
        </w:trPr>
        <w:tc>
          <w:tcPr>
            <w:tcW w:w="3312"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平台手续费</w:t>
            </w:r>
          </w:p>
        </w:tc>
        <w:tc>
          <w:tcPr>
            <w:tcW w:w="3312"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7"/>
              </w:rPr>
              <w:t>300 × 70%</w:t>
            </w:r>
          </w:p>
        </w:tc>
        <w:tc>
          <w:tcPr>
            <w:tcW w:w="3312"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7"/>
              </w:rPr>
              <w:t>210 Drama</w:t>
            </w:r>
          </w:p>
        </w:tc>
      </w:tr>
      <w:tr>
        <w:trPr>
          <w:cantSplit w:val="1"/>
        </w:trPr>
        <w:tc>
          <w:tcPr>
            <w:tcW w:w="3312"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资产积分转换占用</w:t>
            </w:r>
          </w:p>
        </w:tc>
        <w:tc>
          <w:tcPr>
            <w:tcW w:w="3312"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7"/>
              </w:rPr>
              <w:t>300 × 15%</w:t>
            </w:r>
          </w:p>
        </w:tc>
        <w:tc>
          <w:tcPr>
            <w:tcW w:w="3312"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7"/>
              </w:rPr>
              <w:t>45 Drama</w:t>
            </w:r>
            <w:r>
              <w:rPr>
                <w:rFonts w:hint="eastAsia" w:ascii="Noto Sans CJK SC" w:hAnsi="Noto Sans CJK SC" w:eastAsia="Noto Sans CJK SC"/>
                <w:b w:val="0"/>
                <w:color w:val="1F1F1F"/>
                <w:sz w:val="17"/>
              </w:rPr>
              <w:t xml:space="preserve"> → 45积分</w:t>
            </w:r>
          </w:p>
        </w:tc>
      </w:tr>
      <w:tr>
        <w:trPr>
          <w:cantSplit w:val="1"/>
        </w:trPr>
        <w:tc>
          <w:tcPr>
            <w:tcW w:w="3312"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卖出Drama</w:t>
            </w:r>
            <w:r>
              <w:rPr>
                <w:rFonts w:hint="eastAsia" w:ascii="Noto Sans CJK SC" w:hAnsi="Noto Sans CJK SC" w:eastAsia="Noto Sans CJK SC"/>
                <w:b w:val="0"/>
                <w:color w:val="1F1F1F"/>
                <w:sz w:val="17"/>
              </w:rPr>
              <w:t>总占用</w:t>
            </w:r>
          </w:p>
        </w:tc>
        <w:tc>
          <w:tcPr>
            <w:tcW w:w="3312"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7"/>
              </w:rPr>
              <w:t>300 × 85%</w:t>
            </w:r>
          </w:p>
        </w:tc>
        <w:tc>
          <w:tcPr>
            <w:tcW w:w="3312"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7"/>
              </w:rPr>
              <w:t>255 Drama</w:t>
            </w:r>
          </w:p>
        </w:tc>
      </w:tr>
      <w:tr>
        <w:trPr>
          <w:cantSplit w:val="1"/>
        </w:trPr>
        <w:tc>
          <w:tcPr>
            <w:tcW w:w="3312"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用户现金收益</w:t>
            </w:r>
          </w:p>
        </w:tc>
        <w:tc>
          <w:tcPr>
            <w:tcW w:w="3312"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7"/>
              </w:rPr>
              <w:t>300 × 15%</w:t>
            </w:r>
          </w:p>
        </w:tc>
        <w:tc>
          <w:tcPr>
            <w:tcW w:w="3312"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7"/>
              </w:rPr>
              <w:t>¥45</w:t>
            </w:r>
          </w:p>
        </w:tc>
      </w:tr>
      <w:tr>
        <w:trPr>
          <w:cantSplit w:val="1"/>
        </w:trPr>
        <w:tc>
          <w:tcPr>
            <w:tcW w:w="3312"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用户综合经济价值</w:t>
            </w:r>
          </w:p>
        </w:tc>
        <w:tc>
          <w:tcPr>
            <w:tcW w:w="3312"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¥45现金 + 45积分</w:t>
            </w:r>
          </w:p>
        </w:tc>
        <w:tc>
          <w:tcPr>
            <w:tcW w:w="3312"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相当于本金0.90%</w:t>
            </w:r>
          </w:p>
        </w:tc>
      </w:tr>
    </w:tbl>
    <w:p>
      <w:pPr>
        <w:spacing w:after="20"/>
      </w:pPr>
    </w:p>
    <w:tbl>
      <w:tblPr>
        <w:tblW w:w="0" w:type="auto"/>
        <w:jc w:val="center"/>
        <w:tblLayout w:type="fixed"/>
        <w:tblLook w:firstRow="1" w:lastRow="0" w:firstColumn="1" w:lastColumn="0" w:noHBand="0" w:noVBand="1" w:val="04A0"/>
      </w:tblPr>
      <w:tblGrid>
        <w:gridCol w:w="10166"/>
      </w:tblGrid>
      <w:tr>
        <w:trPr>
          <w:cantSplit w:val="1"/>
        </w:trPr>
        <w:tc>
          <w:tcPr>
            <w:tcW w:w="10166" w:type="dxa"/>
            <w:tcBorders>
              <w:left w:val="single" w:color="C55A11" w:sz="18"/>
            </w:tcBorders>
            <w:shd w:fill="FFF2CC"/>
            <w:tcMar>
              <w:top w:w="140" w:type="dxa"/>
              <w:left w:w="160" w:type="dxa"/>
              <w:bottom w:w="140" w:type="dxa"/>
              <w:right w:w="160" w:type="dxa"/>
            </w:tcMar>
          </w:tcPr>
          <w:p>
            <w:pPr>
              <w:keepNext w:val="1"/>
              <w:spacing w:after="80"/>
            </w:pPr>
            <w:r>
              <w:rPr>
                <w:rFonts w:hint="eastAsia" w:ascii="Noto Sans CJK SC" w:hAnsi="Noto Sans CJK SC" w:eastAsia="Noto Sans CJK SC"/>
                <w:b w:val="1"/>
                <w:color w:val="C55A11"/>
                <w:sz w:val="21"/>
              </w:rPr>
              <w:t>70%与85%不能混用</w:t>
            </w:r>
          </w:p>
          <w:p>
            <w:pPr>
              <w:spacing w:after="0" w:line="293" w:lineRule="auto"/>
            </w:pPr>
            <w:r>
              <w:rPr>
                <w:rFonts w:hint="eastAsia" w:ascii="Noto Sans CJK SC" w:hAnsi="Noto Sans CJK SC" w:eastAsia="Noto Sans CJK SC"/>
                <w:b w:val="0"/>
                <w:color w:val="1F1F1F"/>
                <w:sz w:val="19"/>
              </w:rPr>
              <w:t>platform_fee（70%）是代理返佣基数；listing_dao_required（85%）是卖出时的Drama</w:t>
            </w:r>
            <w:r>
              <w:rPr>
                <w:rFonts w:hint="eastAsia" w:ascii="Noto Sans CJK SC" w:hAnsi="Noto Sans CJK SC" w:eastAsia="Noto Sans CJK SC"/>
                <w:b w:val="0"/>
                <w:color w:val="1F1F1F"/>
                <w:sz w:val="19"/>
              </w:rPr>
              <w:t>总占用。两者必须作为不同字段，否则会导致返佣、积分、卖出校验和财务对账错误。</w:t>
            </w:r>
          </w:p>
        </w:tc>
      </w:tr>
    </w:tbl>
    <w:p>
      <w:pPr>
        <w:spacing w:after="20"/>
      </w:pPr>
    </w:p>
    <w:p>
      <w:pPr>
        <w:pStyle w:val="000008"/>
      </w:pPr>
      <w:r>
        <w:rPr>
          <w:rFonts w:hint="eastAsia" w:ascii="Noto Sans CJK SC" w:hAnsi="Noto Sans CJK SC" w:eastAsia="Noto Sans CJK SC"/>
          <w:b w:val="0"/>
          <w:sz w:val="21"/>
        </w:rPr>
        <w:t>6. 短剧剧本完整交易业务流程</w:t>
      </w:r>
    </w:p>
    <w:p>
      <w:pPr>
        <w:spacing w:after="80"/>
        <w:ind w:left="317" w:hanging="259"/>
      </w:pPr>
      <w:r>
        <w:rPr>
          <w:rFonts w:hint="eastAsia" w:ascii="Noto Sans CJK SC" w:hAnsi="Noto Sans CJK SC" w:eastAsia="Noto Sans CJK SC"/>
          <w:b w:val="0"/>
          <w:sz w:val="20"/>
        </w:rPr>
        <w:t>1. 用户注册并绑定邀请人，形成最多10代代理关系；准备Drama</w:t>
      </w:r>
      <w:r>
        <w:rPr>
          <w:rFonts w:hint="eastAsia" w:ascii="Noto Sans CJK SC" w:hAnsi="Noto Sans CJK SC" w:eastAsia="Noto Sans CJK SC"/>
          <w:b w:val="0"/>
          <w:sz w:val="20"/>
        </w:rPr>
        <w:t>。</w:t>
      </w:r>
    </w:p>
    <w:p>
      <w:pPr>
        <w:spacing w:after="80"/>
        <w:ind w:left="317" w:hanging="259"/>
      </w:pPr>
      <w:r>
        <w:rPr>
          <w:rFonts w:hint="eastAsia" w:ascii="Noto Sans CJK SC" w:hAnsi="Noto Sans CJK SC" w:eastAsia="Noto Sans CJK SC"/>
          <w:b w:val="0"/>
          <w:sz w:val="20"/>
        </w:rPr>
        <w:t>2. 用户进入普通区/创新区，根据金额档位和规定时间发起预约；预约Drama</w:t>
      </w:r>
      <w:r>
        <w:rPr>
          <w:rFonts w:hint="eastAsia" w:ascii="Noto Sans CJK SC" w:hAnsi="Noto Sans CJK SC" w:eastAsia="Noto Sans CJK SC"/>
          <w:b w:val="0"/>
          <w:sz w:val="20"/>
        </w:rPr>
        <w:t>进入冻结状态。</w:t>
      </w:r>
    </w:p>
    <w:p>
      <w:pPr>
        <w:spacing w:after="80"/>
        <w:ind w:left="317" w:hanging="259"/>
      </w:pPr>
      <w:r>
        <w:rPr>
          <w:rFonts w:hint="eastAsia" w:ascii="Noto Sans CJK SC" w:hAnsi="Noto Sans CJK SC" w:eastAsia="Noto Sans CJK SC"/>
          <w:b w:val="0"/>
          <w:sz w:val="20"/>
        </w:rPr>
        <w:t>3. 到抢购时间参与短剧剧本抢购；系统根据预约资格、档位和可售标的进行匹配。</w:t>
      </w:r>
    </w:p>
    <w:p>
      <w:pPr>
        <w:spacing w:after="80"/>
        <w:ind w:left="317" w:hanging="259"/>
      </w:pPr>
      <w:r>
        <w:rPr>
          <w:rFonts w:hint="eastAsia" w:ascii="Noto Sans CJK SC" w:hAnsi="Noto Sans CJK SC" w:eastAsia="Noto Sans CJK SC"/>
          <w:b w:val="0"/>
          <w:sz w:val="20"/>
        </w:rPr>
        <w:t>4. 抢购成功后生成P2P购买订单，并展示卖家收款方式。</w:t>
      </w:r>
    </w:p>
    <w:p>
      <w:pPr>
        <w:spacing w:after="80"/>
        <w:ind w:left="317" w:hanging="259"/>
      </w:pPr>
      <w:r>
        <w:rPr>
          <w:rFonts w:hint="eastAsia" w:ascii="Noto Sans CJK SC" w:hAnsi="Noto Sans CJK SC" w:eastAsia="Noto Sans CJK SC"/>
          <w:b w:val="0"/>
          <w:sz w:val="20"/>
        </w:rPr>
        <w:t>5. 买家在付款时限内完成付款、上传凭证并点击“我已付款”。</w:t>
      </w:r>
    </w:p>
    <w:p>
      <w:pPr>
        <w:spacing w:after="80"/>
        <w:ind w:left="317" w:hanging="259"/>
      </w:pPr>
      <w:r>
        <w:rPr>
          <w:rFonts w:hint="eastAsia" w:ascii="Noto Sans CJK SC" w:hAnsi="Noto Sans CJK SC" w:eastAsia="Noto Sans CJK SC"/>
          <w:b w:val="0"/>
          <w:sz w:val="20"/>
        </w:rPr>
        <w:t>6. 卖家核实到账后点击“放行”，短剧剧本交易权益转移给买家。</w:t>
      </w:r>
    </w:p>
    <w:p>
      <w:pPr>
        <w:spacing w:after="80"/>
        <w:ind w:left="317" w:hanging="259"/>
      </w:pPr>
      <w:r>
        <w:rPr>
          <w:rFonts w:hint="eastAsia" w:ascii="Noto Sans CJK SC" w:hAnsi="Noto Sans CJK SC" w:eastAsia="Noto Sans CJK SC"/>
          <w:b w:val="0"/>
          <w:sz w:val="20"/>
        </w:rPr>
        <w:t>7. 正常成交后释放预约Drama</w:t>
      </w:r>
      <w:r>
        <w:rPr>
          <w:rFonts w:hint="eastAsia" w:ascii="Noto Sans CJK SC" w:hAnsi="Noto Sans CJK SC" w:eastAsia="Noto Sans CJK SC"/>
          <w:b w:val="0"/>
          <w:sz w:val="20"/>
        </w:rPr>
        <w:t>；若抢到后超时未付款，则按规则扣除预约Drama</w:t>
      </w:r>
      <w:r>
        <w:rPr>
          <w:rFonts w:hint="eastAsia" w:ascii="Noto Sans CJK SC" w:hAnsi="Noto Sans CJK SC" w:eastAsia="Noto Sans CJK SC"/>
          <w:b w:val="0"/>
          <w:sz w:val="20"/>
        </w:rPr>
        <w:t>，其中50%销毁、50%补偿卖家。</w:t>
      </w:r>
    </w:p>
    <w:p>
      <w:pPr>
        <w:spacing w:after="80"/>
        <w:ind w:left="317" w:hanging="259"/>
      </w:pPr>
      <w:r>
        <w:rPr>
          <w:rFonts w:hint="eastAsia" w:ascii="Noto Sans CJK SC" w:hAnsi="Noto Sans CJK SC" w:eastAsia="Noto Sans CJK SC"/>
          <w:b w:val="0"/>
          <w:sz w:val="20"/>
        </w:rPr>
        <w:t>8. 买家进入持有周期；1日档次日到期，7日档持有7天。</w:t>
      </w:r>
    </w:p>
    <w:p>
      <w:pPr>
        <w:spacing w:after="80"/>
        <w:ind w:left="317" w:hanging="259"/>
      </w:pPr>
      <w:r>
        <w:rPr>
          <w:rFonts w:hint="eastAsia" w:ascii="Noto Sans CJK SC" w:hAnsi="Noto Sans CJK SC" w:eastAsia="Noto Sans CJK SC"/>
          <w:b w:val="0"/>
          <w:sz w:val="20"/>
        </w:rPr>
        <w:t>9. 到期后计算预计卖价、增长金额及Drama</w:t>
      </w:r>
      <w:r>
        <w:rPr>
          <w:rFonts w:hint="eastAsia" w:ascii="Noto Sans CJK SC" w:hAnsi="Noto Sans CJK SC" w:eastAsia="Noto Sans CJK SC"/>
          <w:b w:val="0"/>
          <w:sz w:val="20"/>
        </w:rPr>
        <w:t>需求；Drama</w:t>
      </w:r>
      <w:r>
        <w:rPr>
          <w:rFonts w:hint="eastAsia" w:ascii="Noto Sans CJK SC" w:hAnsi="Noto Sans CJK SC" w:eastAsia="Noto Sans CJK SC"/>
          <w:b w:val="0"/>
          <w:sz w:val="20"/>
        </w:rPr>
        <w:t>不足则进入待补充状态。</w:t>
      </w:r>
    </w:p>
    <w:p>
      <w:pPr>
        <w:spacing w:after="80"/>
        <w:ind w:left="317" w:hanging="259"/>
      </w:pPr>
      <w:r>
        <w:rPr>
          <w:rFonts w:ascii="Noto Sans CJK SC" w:hAnsi="Noto Sans CJK SC" w:eastAsia="Noto Sans CJK SC"/>
          <w:b w:val="0"/>
          <w:sz w:val="20"/>
        </w:rPr>
        <w:t>10. Drama</w:t>
      </w:r>
      <w:r>
        <w:rPr>
          <w:rFonts w:hint="eastAsia" w:ascii="Noto Sans CJK SC" w:hAnsi="Noto Sans CJK SC" w:eastAsia="Noto Sans CJK SC"/>
          <w:b w:val="0"/>
          <w:sz w:val="20"/>
        </w:rPr>
        <w:t>足够时系统自动上架，等待下一位真实买家匹配并完成P2P交易。</w:t>
      </w:r>
    </w:p>
    <w:p>
      <w:pPr>
        <w:spacing w:after="80"/>
        <w:ind w:left="317" w:hanging="259"/>
      </w:pPr>
      <w:r>
        <w:rPr>
          <w:rFonts w:hint="eastAsia" w:ascii="Noto Sans CJK SC" w:hAnsi="Noto Sans CJK SC" w:eastAsia="Noto Sans CJK SC"/>
          <w:b w:val="0"/>
          <w:sz w:val="20"/>
        </w:rPr>
        <w:t>11. 卖出成交后完成手续费、现金收益、资产积分和10代代理佣金的统一结算。</w:t>
      </w:r>
    </w:p>
    <w:p>
      <w:pPr>
        <w:spacing w:after="80"/>
        <w:ind w:left="317" w:hanging="259"/>
      </w:pPr>
      <w:r>
        <w:rPr>
          <w:rFonts w:hint="eastAsia" w:ascii="Noto Sans CJK SC" w:hAnsi="Noto Sans CJK SC" w:eastAsia="Noto Sans CJK SC"/>
          <w:b w:val="0"/>
          <w:sz w:val="20"/>
        </w:rPr>
        <w:t>12. 所有冻结、解冻、扣除、销毁、补偿、积分、佣金和权益转移写入独立账本并可追溯原始订单。</w:t>
      </w:r>
    </w:p>
    <w:p>
      <w:pPr>
        <w:pStyle w:val="000008"/>
      </w:pPr>
      <w:r>
        <w:rPr>
          <w:rFonts w:hint="eastAsia" w:ascii="Noto Sans CJK SC" w:hAnsi="Noto Sans CJK SC" w:eastAsia="Noto Sans CJK SC"/>
          <w:b w:val="0"/>
          <w:sz w:val="21"/>
        </w:rPr>
        <w:t>7. 预约、抢购、P2P付款与申诉</w:t>
      </w:r>
    </w:p>
    <w:tbl>
      <w:tblPr>
        <w:tblStyle w:val="000049"/>
        <w:tblW w:w="0" w:type="auto"/>
        <w:jc w:val="center"/>
        <w:tblLayout w:type="fixed"/>
        <w:tblLook w:firstRow="1" w:lastRow="0" w:firstColumn="1" w:lastColumn="0" w:noHBand="0" w:noVBand="1" w:val="04A0"/>
      </w:tblPr>
      <w:tblGrid>
        <w:gridCol w:w="1694"/>
        <w:gridCol w:w="1694"/>
        <w:gridCol w:w="1694"/>
        <w:gridCol w:w="1694"/>
        <w:gridCol w:w="1694"/>
        <w:gridCol w:w="1694"/>
      </w:tblGrid>
      <w:tr>
        <w:trPr>
          <w:cantSplit w:val="1"/>
          <w:tblHeader w:val="1"/>
        </w:trPr>
        <w:tc>
          <w:tcPr>
            <w:tcW w:w="1512" w:type="dxa"/>
            <w:shd w:fill="1F4E78"/>
            <w:tcMar>
              <w:top w:w="120" w:type="dxa"/>
              <w:left w:w="110" w:type="dxa"/>
              <w:bottom w:w="120" w:type="dxa"/>
              <w:right w:w="110" w:type="dxa"/>
            </w:tcMar>
            <w:vAlign w:val="center"/>
          </w:tcPr>
          <w:p>
            <w:pPr>
              <w:spacing w:after="0" w:line="252" w:lineRule="auto"/>
              <w:jc w:val="center"/>
            </w:pPr>
            <w:r>
              <w:rPr>
                <w:rFonts w:hint="eastAsia" w:ascii="Noto Sans CJK SC" w:hAnsi="Noto Sans CJK SC" w:eastAsia="Noto Sans CJK SC"/>
                <w:b w:val="1"/>
                <w:color w:val="FFFFFF"/>
                <w:sz w:val="16"/>
              </w:rPr>
              <w:t>专区</w:t>
            </w:r>
          </w:p>
        </w:tc>
        <w:tc>
          <w:tcPr>
            <w:tcW w:w="1656" w:type="dxa"/>
            <w:shd w:fill="1F4E78"/>
            <w:tcMar>
              <w:top w:w="120" w:type="dxa"/>
              <w:left w:w="110" w:type="dxa"/>
              <w:bottom w:w="120" w:type="dxa"/>
              <w:right w:w="110" w:type="dxa"/>
            </w:tcMar>
            <w:vAlign w:val="center"/>
          </w:tcPr>
          <w:p>
            <w:pPr>
              <w:spacing w:after="0" w:line="252" w:lineRule="auto"/>
              <w:jc w:val="center"/>
            </w:pPr>
            <w:r>
              <w:rPr>
                <w:rFonts w:hint="eastAsia" w:ascii="Noto Sans CJK SC" w:hAnsi="Noto Sans CJK SC" w:eastAsia="Noto Sans CJK SC"/>
                <w:b w:val="1"/>
                <w:color w:val="FFFFFF"/>
                <w:sz w:val="16"/>
              </w:rPr>
              <w:t>金额(¥)</w:t>
            </w:r>
          </w:p>
        </w:tc>
        <w:tc>
          <w:tcPr>
            <w:tcW w:w="2376" w:type="dxa"/>
            <w:shd w:fill="1F4E78"/>
            <w:tcMar>
              <w:top w:w="120" w:type="dxa"/>
              <w:left w:w="110" w:type="dxa"/>
              <w:bottom w:w="120" w:type="dxa"/>
              <w:right w:w="110" w:type="dxa"/>
            </w:tcMar>
            <w:vAlign w:val="center"/>
          </w:tcPr>
          <w:p>
            <w:pPr>
              <w:spacing w:after="0" w:line="252" w:lineRule="auto"/>
              <w:jc w:val="center"/>
            </w:pPr>
            <w:r>
              <w:rPr>
                <w:rFonts w:hint="eastAsia" w:ascii="Noto Sans CJK SC" w:hAnsi="Noto Sans CJK SC" w:eastAsia="Noto Sans CJK SC"/>
                <w:b w:val="1"/>
                <w:color w:val="FFFFFF"/>
                <w:sz w:val="16"/>
              </w:rPr>
              <w:t>时间</w:t>
            </w:r>
          </w:p>
        </w:tc>
        <w:tc>
          <w:tcPr>
            <w:tcW w:w="1080" w:type="dxa"/>
            <w:shd w:fill="1F4E78"/>
            <w:tcMar>
              <w:top w:w="120" w:type="dxa"/>
              <w:left w:w="110" w:type="dxa"/>
              <w:bottom w:w="120" w:type="dxa"/>
              <w:right w:w="110" w:type="dxa"/>
            </w:tcMar>
            <w:vAlign w:val="center"/>
          </w:tcPr>
          <w:p>
            <w:pPr>
              <w:spacing w:after="0" w:line="252" w:lineRule="auto"/>
              <w:jc w:val="center"/>
            </w:pPr>
            <w:r>
              <w:rPr>
                <w:rFonts w:hint="eastAsia" w:ascii="Noto Sans CJK SC" w:hAnsi="Noto Sans CJK SC" w:eastAsia="Noto Sans CJK SC"/>
                <w:b w:val="1"/>
                <w:color w:val="FFFFFF"/>
                <w:sz w:val="16"/>
              </w:rPr>
              <w:t>周期</w:t>
            </w:r>
          </w:p>
        </w:tc>
        <w:tc>
          <w:tcPr>
            <w:tcW w:w="1080" w:type="dxa"/>
            <w:shd w:fill="1F4E78"/>
            <w:tcMar>
              <w:top w:w="120" w:type="dxa"/>
              <w:left w:w="110" w:type="dxa"/>
              <w:bottom w:w="120" w:type="dxa"/>
              <w:right w:w="110" w:type="dxa"/>
            </w:tcMar>
            <w:vAlign w:val="center"/>
          </w:tcPr>
          <w:p>
            <w:pPr>
              <w:spacing w:after="0" w:line="252" w:lineRule="auto"/>
              <w:jc w:val="center"/>
            </w:pPr>
            <w:r>
              <w:rPr>
                <w:rFonts w:hint="eastAsia" w:ascii="Noto Sans CJK SC" w:hAnsi="Noto Sans CJK SC" w:eastAsia="Noto Sans CJK SC"/>
                <w:b w:val="1"/>
                <w:color w:val="FFFFFF"/>
                <w:sz w:val="16"/>
              </w:rPr>
              <w:t>增长</w:t>
            </w:r>
          </w:p>
        </w:tc>
        <w:tc>
          <w:tcPr>
            <w:tcW w:w="1368" w:type="dxa"/>
            <w:shd w:fill="1F4E78"/>
            <w:tcMar>
              <w:top w:w="120" w:type="dxa"/>
              <w:left w:w="110" w:type="dxa"/>
              <w:bottom w:w="120" w:type="dxa"/>
              <w:right w:w="110" w:type="dxa"/>
            </w:tcMar>
            <w:vAlign w:val="center"/>
          </w:tcPr>
          <w:p>
            <w:pPr>
              <w:spacing w:after="0" w:line="252" w:lineRule="auto"/>
              <w:jc w:val="center"/>
            </w:pPr>
            <w:r>
              <w:rPr>
                <w:rFonts w:hint="eastAsia" w:ascii="Noto Sans CJK SC" w:hAnsi="Noto Sans CJK SC" w:eastAsia="Noto Sans CJK SC"/>
                <w:b w:val="1"/>
                <w:color w:val="FFFFFF"/>
                <w:sz w:val="16"/>
              </w:rPr>
              <w:t>预约Drama</w:t>
            </w:r>
          </w:p>
        </w:tc>
      </w:tr>
      <w:tr>
        <w:trPr>
          <w:cantSplit w:val="1"/>
        </w:trPr>
        <w:tc>
          <w:tcPr>
            <w:tcW w:w="1512"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6"/>
              </w:rPr>
              <w:t>创新区</w:t>
            </w:r>
          </w:p>
        </w:tc>
        <w:tc>
          <w:tcPr>
            <w:tcW w:w="1656"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6"/>
              </w:rPr>
              <w:t>300-1000</w:t>
            </w:r>
          </w:p>
        </w:tc>
        <w:tc>
          <w:tcPr>
            <w:tcW w:w="2376"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6"/>
              </w:rPr>
              <w:t>每天13:00</w:t>
            </w:r>
          </w:p>
        </w:tc>
        <w:tc>
          <w:tcPr>
            <w:tcW w:w="1080"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6"/>
              </w:rPr>
              <w:t>1天</w:t>
            </w:r>
          </w:p>
        </w:tc>
        <w:tc>
          <w:tcPr>
            <w:tcW w:w="1080"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6"/>
              </w:rPr>
              <w:t>3%</w:t>
            </w:r>
          </w:p>
        </w:tc>
        <w:tc>
          <w:tcPr>
            <w:tcW w:w="1368"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6"/>
              </w:rPr>
              <w:t>待确认</w:t>
            </w:r>
          </w:p>
        </w:tc>
      </w:tr>
      <w:tr>
        <w:trPr>
          <w:cantSplit w:val="1"/>
        </w:trPr>
        <w:tc>
          <w:tcPr>
            <w:tcW w:w="1512"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6"/>
              </w:rPr>
              <w:t>创新区</w:t>
            </w:r>
          </w:p>
        </w:tc>
        <w:tc>
          <w:tcPr>
            <w:tcW w:w="1656"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6"/>
              </w:rPr>
              <w:t>1000-5000</w:t>
            </w:r>
          </w:p>
        </w:tc>
        <w:tc>
          <w:tcPr>
            <w:tcW w:w="2376"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6"/>
              </w:rPr>
              <w:t>每天14:00</w:t>
            </w:r>
          </w:p>
        </w:tc>
        <w:tc>
          <w:tcPr>
            <w:tcW w:w="1080"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6"/>
              </w:rPr>
              <w:t>1天</w:t>
            </w:r>
          </w:p>
        </w:tc>
        <w:tc>
          <w:tcPr>
            <w:tcW w:w="1080"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6"/>
              </w:rPr>
              <w:t>3%</w:t>
            </w:r>
          </w:p>
        </w:tc>
        <w:tc>
          <w:tcPr>
            <w:tcW w:w="1368"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6"/>
              </w:rPr>
              <w:t>75</w:t>
            </w:r>
          </w:p>
        </w:tc>
      </w:tr>
      <w:tr>
        <w:trPr>
          <w:cantSplit w:val="1"/>
        </w:trPr>
        <w:tc>
          <w:tcPr>
            <w:tcW w:w="1512"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6"/>
              </w:rPr>
              <w:t>创新区</w:t>
            </w:r>
          </w:p>
        </w:tc>
        <w:tc>
          <w:tcPr>
            <w:tcW w:w="1656"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6"/>
              </w:rPr>
              <w:t>5000-12000</w:t>
            </w:r>
          </w:p>
        </w:tc>
        <w:tc>
          <w:tcPr>
            <w:tcW w:w="2376"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6"/>
              </w:rPr>
              <w:t>周一/三/五 15:00</w:t>
            </w:r>
          </w:p>
        </w:tc>
        <w:tc>
          <w:tcPr>
            <w:tcW w:w="1080"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6"/>
              </w:rPr>
              <w:t>7天</w:t>
            </w:r>
          </w:p>
        </w:tc>
        <w:tc>
          <w:tcPr>
            <w:tcW w:w="1080"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6"/>
              </w:rPr>
              <w:t>3%/日</w:t>
            </w:r>
          </w:p>
        </w:tc>
        <w:tc>
          <w:tcPr>
            <w:tcW w:w="1368"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6"/>
              </w:rPr>
              <w:t>240</w:t>
            </w:r>
          </w:p>
        </w:tc>
      </w:tr>
      <w:tr>
        <w:trPr>
          <w:cantSplit w:val="1"/>
        </w:trPr>
        <w:tc>
          <w:tcPr>
            <w:tcW w:w="1512"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6"/>
              </w:rPr>
              <w:t>创新区</w:t>
            </w:r>
          </w:p>
        </w:tc>
        <w:tc>
          <w:tcPr>
            <w:tcW w:w="1656"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6"/>
              </w:rPr>
              <w:t>12000-35000</w:t>
            </w:r>
          </w:p>
        </w:tc>
        <w:tc>
          <w:tcPr>
            <w:tcW w:w="2376"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6"/>
              </w:rPr>
              <w:t>周一/三/五 17:00</w:t>
            </w:r>
          </w:p>
        </w:tc>
        <w:tc>
          <w:tcPr>
            <w:tcW w:w="1080"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6"/>
              </w:rPr>
              <w:t>7天</w:t>
            </w:r>
          </w:p>
        </w:tc>
        <w:tc>
          <w:tcPr>
            <w:tcW w:w="1080"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6"/>
              </w:rPr>
              <w:t>3%/日</w:t>
            </w:r>
          </w:p>
        </w:tc>
        <w:tc>
          <w:tcPr>
            <w:tcW w:w="1368"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6"/>
              </w:rPr>
              <w:t>450</w:t>
            </w:r>
          </w:p>
        </w:tc>
      </w:tr>
      <w:tr>
        <w:trPr>
          <w:cantSplit w:val="1"/>
        </w:trPr>
        <w:tc>
          <w:tcPr>
            <w:tcW w:w="1512"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6"/>
              </w:rPr>
              <w:t>普通区</w:t>
            </w:r>
          </w:p>
        </w:tc>
        <w:tc>
          <w:tcPr>
            <w:tcW w:w="1656"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6"/>
              </w:rPr>
              <w:t>1000-5000</w:t>
            </w:r>
          </w:p>
        </w:tc>
        <w:tc>
          <w:tcPr>
            <w:tcW w:w="2376"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6"/>
              </w:rPr>
              <w:t>每天16:00</w:t>
            </w:r>
          </w:p>
        </w:tc>
        <w:tc>
          <w:tcPr>
            <w:tcW w:w="1080"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6"/>
              </w:rPr>
              <w:t>1天</w:t>
            </w:r>
          </w:p>
        </w:tc>
        <w:tc>
          <w:tcPr>
            <w:tcW w:w="1080"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6"/>
              </w:rPr>
              <w:t>2%</w:t>
            </w:r>
          </w:p>
        </w:tc>
        <w:tc>
          <w:tcPr>
            <w:tcW w:w="1368"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6"/>
              </w:rPr>
              <w:t>75</w:t>
            </w:r>
          </w:p>
        </w:tc>
      </w:tr>
      <w:tr>
        <w:trPr>
          <w:cantSplit w:val="1"/>
        </w:trPr>
        <w:tc>
          <w:tcPr>
            <w:tcW w:w="1512"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6"/>
              </w:rPr>
              <w:t>普通区</w:t>
            </w:r>
          </w:p>
        </w:tc>
        <w:tc>
          <w:tcPr>
            <w:tcW w:w="1656"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6"/>
              </w:rPr>
              <w:t>5000-12000</w:t>
            </w:r>
          </w:p>
        </w:tc>
        <w:tc>
          <w:tcPr>
            <w:tcW w:w="2376"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6"/>
              </w:rPr>
              <w:t>周二/四/六 15:00</w:t>
            </w:r>
          </w:p>
        </w:tc>
        <w:tc>
          <w:tcPr>
            <w:tcW w:w="1080"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6"/>
              </w:rPr>
              <w:t>7天</w:t>
            </w:r>
          </w:p>
        </w:tc>
        <w:tc>
          <w:tcPr>
            <w:tcW w:w="1080"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6"/>
              </w:rPr>
              <w:t>2%/日</w:t>
            </w:r>
          </w:p>
        </w:tc>
        <w:tc>
          <w:tcPr>
            <w:tcW w:w="1368"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6"/>
              </w:rPr>
              <w:t>240</w:t>
            </w:r>
          </w:p>
        </w:tc>
      </w:tr>
      <w:tr>
        <w:trPr>
          <w:cantSplit w:val="1"/>
        </w:trPr>
        <w:tc>
          <w:tcPr>
            <w:tcW w:w="1512"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6"/>
              </w:rPr>
              <w:t>普通区</w:t>
            </w:r>
          </w:p>
        </w:tc>
        <w:tc>
          <w:tcPr>
            <w:tcW w:w="1656"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6"/>
              </w:rPr>
              <w:t>12000-35000</w:t>
            </w:r>
          </w:p>
        </w:tc>
        <w:tc>
          <w:tcPr>
            <w:tcW w:w="2376"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6"/>
              </w:rPr>
              <w:t>周二/四/六 17:00</w:t>
            </w:r>
          </w:p>
        </w:tc>
        <w:tc>
          <w:tcPr>
            <w:tcW w:w="1080"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6"/>
              </w:rPr>
              <w:t>7天</w:t>
            </w:r>
          </w:p>
        </w:tc>
        <w:tc>
          <w:tcPr>
            <w:tcW w:w="1080"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6"/>
              </w:rPr>
              <w:t>2%/日</w:t>
            </w:r>
          </w:p>
        </w:tc>
        <w:tc>
          <w:tcPr>
            <w:tcW w:w="1368"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6"/>
              </w:rPr>
              <w:t>450</w:t>
            </w:r>
          </w:p>
        </w:tc>
      </w:tr>
    </w:tbl>
    <w:p>
      <w:pPr>
        <w:spacing w:after="20"/>
      </w:pPr>
    </w:p>
    <w:p>
      <w:pPr>
        <w:spacing w:after="120" w:line="307" w:lineRule="auto"/>
      </w:pPr>
      <w:r>
        <w:rPr>
          <w:rFonts w:hint="eastAsia" w:ascii="Noto Sans CJK SC" w:hAnsi="Noto Sans CJK SC" w:eastAsia="Noto Sans CJK SC"/>
          <w:b w:val="0"/>
          <w:sz w:val="21"/>
        </w:rPr>
        <w:t>预约Drama</w:t>
      </w:r>
      <w:r>
        <w:rPr>
          <w:rFonts w:hint="eastAsia" w:ascii="Noto Sans CJK SC" w:hAnsi="Noto Sans CJK SC" w:eastAsia="Noto Sans CJK SC"/>
          <w:b w:val="0"/>
          <w:sz w:val="21"/>
        </w:rPr>
        <w:t>建议采用“冻结而不是立即扣除”的账本逻辑。抢购成功并正常成交后解冻；未抢到时建议自动解冻退回；抢到但超时未付款则进入违约扣除。</w:t>
      </w:r>
    </w:p>
    <w:p>
      <w:pPr>
        <w:spacing w:after="120" w:line="307" w:lineRule="auto"/>
      </w:pPr>
      <w:r>
        <w:rPr>
          <w:rFonts w:hint="eastAsia" w:ascii="Noto Sans CJK SC" w:hAnsi="Noto Sans CJK SC" w:eastAsia="Noto Sans CJK SC"/>
          <w:b w:val="0"/>
          <w:sz w:val="21"/>
        </w:rPr>
        <w:t>抢购成功后生成P2P订单。当前方案以60分钟作为买家付款时限。买家付款并上传凭证后，订单进入待卖家确认；卖家确认到账后放行。</w:t>
      </w:r>
    </w:p>
    <w:tbl>
      <w:tblPr>
        <w:tblW w:w="0" w:type="auto"/>
        <w:jc w:val="center"/>
        <w:tblLayout w:type="fixed"/>
        <w:tblLook w:firstRow="1" w:lastRow="0" w:firstColumn="1" w:lastColumn="0" w:noHBand="0" w:noVBand="1" w:val="04A0"/>
      </w:tblPr>
      <w:tblGrid>
        <w:gridCol w:w="10166"/>
      </w:tblGrid>
      <w:tr>
        <w:trPr>
          <w:cantSplit w:val="1"/>
        </w:trPr>
        <w:tc>
          <w:tcPr>
            <w:tcW w:w="10166" w:type="dxa"/>
            <w:tcBorders>
              <w:left w:val="single" w:color="C55A11" w:sz="18"/>
            </w:tcBorders>
            <w:shd w:fill="FFF2CC"/>
            <w:tcMar>
              <w:top w:w="140" w:type="dxa"/>
              <w:left w:w="160" w:type="dxa"/>
              <w:bottom w:w="140" w:type="dxa"/>
              <w:right w:w="160" w:type="dxa"/>
            </w:tcMar>
          </w:tcPr>
          <w:p>
            <w:pPr>
              <w:keepNext w:val="1"/>
              <w:spacing w:after="80"/>
            </w:pPr>
            <w:r>
              <w:rPr>
                <w:rFonts w:hint="eastAsia" w:ascii="Noto Sans CJK SC" w:hAnsi="Noto Sans CJK SC" w:eastAsia="Noto Sans CJK SC"/>
                <w:b w:val="1"/>
                <w:color w:val="C55A11"/>
                <w:sz w:val="21"/>
              </w:rPr>
              <w:t>申诉与风控</w:t>
            </w:r>
          </w:p>
          <w:p>
            <w:pPr>
              <w:spacing w:after="0" w:line="293" w:lineRule="auto"/>
            </w:pPr>
            <w:r>
              <w:rPr>
                <w:rFonts w:hint="eastAsia" w:ascii="Noto Sans CJK SC" w:hAnsi="Noto Sans CJK SC" w:eastAsia="Noto Sans CJK SC"/>
                <w:b w:val="0"/>
                <w:color w:val="1F1F1F"/>
                <w:sz w:val="19"/>
              </w:rPr>
              <w:t>买家已付款但卖家不放行、虚假付款凭证、金额不符等情况必须进入客服/风控流程。强制放行、封号、没收资产、冲正等高风险操作必须保留人工审核与后台审计日志。</w:t>
            </w:r>
          </w:p>
        </w:tc>
      </w:tr>
    </w:tbl>
    <w:p>
      <w:pPr>
        <w:spacing w:after="20"/>
      </w:pPr>
    </w:p>
    <w:p>
      <w:pPr>
        <w:pStyle w:val="000008"/>
      </w:pPr>
      <w:r>
        <w:rPr>
          <w:rFonts w:hint="eastAsia" w:ascii="Noto Sans CJK SC" w:hAnsi="Noto Sans CJK SC" w:eastAsia="Noto Sans CJK SC"/>
          <w:b w:val="0"/>
          <w:sz w:val="21"/>
        </w:rPr>
        <w:t>8. 持有、到期、自动上架与再交易</w:t>
      </w:r>
    </w:p>
    <w:p>
      <w:pPr>
        <w:spacing w:after="120" w:line="307" w:lineRule="auto"/>
      </w:pPr>
      <w:r>
        <w:rPr>
          <w:rFonts w:hint="eastAsia" w:ascii="Noto Sans CJK SC" w:hAnsi="Noto Sans CJK SC" w:eastAsia="Noto Sans CJK SC"/>
          <w:b w:val="0"/>
          <w:sz w:val="21"/>
        </w:rPr>
        <w:t>买家获得短剧剧本交易权益后生成持仓记录，至少保存买入价、买入时间、到期时间、专区、增长率、规则版本和持有状态。</w:t>
      </w:r>
    </w:p>
    <w:tbl>
      <w:tblPr>
        <w:tblStyle w:val="000049"/>
        <w:tblW w:w="0" w:type="auto"/>
        <w:jc w:val="center"/>
        <w:tblLayout w:type="fixed"/>
        <w:tblLook w:firstRow="1" w:lastRow="0" w:firstColumn="1" w:lastColumn="0" w:noHBand="0" w:noVBand="1" w:val="04A0"/>
      </w:tblPr>
      <w:tblGrid>
        <w:gridCol w:w="5083"/>
        <w:gridCol w:w="5083"/>
      </w:tblGrid>
      <w:tr>
        <w:trPr>
          <w:cantSplit w:val="1"/>
          <w:tblHeader w:val="1"/>
        </w:trPr>
        <w:tc>
          <w:tcPr>
            <w:tcW w:w="2880" w:type="dxa"/>
            <w:shd w:fill="1F4E78"/>
            <w:tcMar>
              <w:top w:w="120" w:type="dxa"/>
              <w:left w:w="110" w:type="dxa"/>
              <w:bottom w:w="120" w:type="dxa"/>
              <w:right w:w="110" w:type="dxa"/>
            </w:tcMar>
            <w:vAlign w:val="center"/>
          </w:tcPr>
          <w:p>
            <w:pPr>
              <w:spacing w:after="0" w:line="252" w:lineRule="auto"/>
              <w:jc w:val="center"/>
            </w:pPr>
            <w:r>
              <w:rPr>
                <w:rFonts w:hint="eastAsia" w:ascii="Noto Sans CJK SC" w:hAnsi="Noto Sans CJK SC" w:eastAsia="Noto Sans CJK SC"/>
                <w:b w:val="1"/>
                <w:color w:val="FFFFFF"/>
                <w:sz w:val="18"/>
              </w:rPr>
              <w:t>持仓状态</w:t>
            </w:r>
          </w:p>
        </w:tc>
        <w:tc>
          <w:tcPr>
            <w:tcW w:w="6912" w:type="dxa"/>
            <w:shd w:fill="1F4E78"/>
            <w:tcMar>
              <w:top w:w="120" w:type="dxa"/>
              <w:left w:w="110" w:type="dxa"/>
              <w:bottom w:w="120" w:type="dxa"/>
              <w:right w:w="110" w:type="dxa"/>
            </w:tcMar>
            <w:vAlign w:val="center"/>
          </w:tcPr>
          <w:p>
            <w:pPr>
              <w:spacing w:after="0" w:line="252" w:lineRule="auto"/>
              <w:jc w:val="center"/>
            </w:pPr>
            <w:r>
              <w:rPr>
                <w:rFonts w:hint="eastAsia" w:ascii="Noto Sans CJK SC" w:hAnsi="Noto Sans CJK SC" w:eastAsia="Noto Sans CJK SC"/>
                <w:b w:val="1"/>
                <w:color w:val="FFFFFF"/>
                <w:sz w:val="18"/>
              </w:rPr>
              <w:t>含义</w:t>
            </w:r>
          </w:p>
        </w:tc>
      </w:tr>
      <w:tr>
        <w:trPr>
          <w:cantSplit w:val="1"/>
        </w:trPr>
        <w:tc>
          <w:tcPr>
            <w:tcW w:w="2880"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8"/>
              </w:rPr>
              <w:t>HOLDING</w:t>
            </w:r>
          </w:p>
        </w:tc>
        <w:tc>
          <w:tcPr>
            <w:tcW w:w="6912"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8"/>
              </w:rPr>
              <w:t>正常持有</w:t>
            </w:r>
          </w:p>
        </w:tc>
      </w:tr>
      <w:tr>
        <w:trPr>
          <w:cantSplit w:val="1"/>
        </w:trPr>
        <w:tc>
          <w:tcPr>
            <w:tcW w:w="2880"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8"/>
              </w:rPr>
              <w:t>MATURED</w:t>
            </w:r>
          </w:p>
        </w:tc>
        <w:tc>
          <w:tcPr>
            <w:tcW w:w="6912"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8"/>
              </w:rPr>
              <w:t>已到期</w:t>
            </w:r>
          </w:p>
        </w:tc>
      </w:tr>
      <w:tr>
        <w:trPr>
          <w:cantSplit w:val="1"/>
        </w:trPr>
        <w:tc>
          <w:tcPr>
            <w:tcW w:w="2880"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8"/>
              </w:rPr>
              <w:t>Drama</w:t>
            </w:r>
            <w:r>
              <w:rPr>
                <w:rFonts w:ascii="Noto Sans CJK SC" w:hAnsi="Noto Sans CJK SC" w:eastAsia="Noto Sans CJK SC"/>
                <w:b w:val="0"/>
                <w:color w:val="1F1F1F"/>
                <w:sz w:val="18"/>
              </w:rPr>
              <w:t>_INSUFFICIENT</w:t>
            </w:r>
          </w:p>
        </w:tc>
        <w:tc>
          <w:tcPr>
            <w:tcW w:w="6912"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8"/>
              </w:rPr>
              <w:t>Drama</w:t>
            </w:r>
            <w:r>
              <w:rPr>
                <w:rFonts w:hint="eastAsia" w:ascii="Noto Sans CJK SC" w:hAnsi="Noto Sans CJK SC" w:eastAsia="Noto Sans CJK SC"/>
                <w:b w:val="0"/>
                <w:color w:val="1F1F1F"/>
                <w:sz w:val="18"/>
              </w:rPr>
              <w:t>不足，暂不能上架</w:t>
            </w:r>
          </w:p>
        </w:tc>
      </w:tr>
      <w:tr>
        <w:trPr>
          <w:cantSplit w:val="1"/>
        </w:trPr>
        <w:tc>
          <w:tcPr>
            <w:tcW w:w="2880"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8"/>
              </w:rPr>
              <w:t>READY_TO_LIST</w:t>
            </w:r>
          </w:p>
        </w:tc>
        <w:tc>
          <w:tcPr>
            <w:tcW w:w="6912"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8"/>
              </w:rPr>
              <w:t>Drama</w:t>
            </w:r>
            <w:r>
              <w:rPr>
                <w:rFonts w:hint="eastAsia" w:ascii="Noto Sans CJK SC" w:hAnsi="Noto Sans CJK SC" w:eastAsia="Noto Sans CJK SC"/>
                <w:b w:val="0"/>
                <w:color w:val="1F1F1F"/>
                <w:sz w:val="18"/>
              </w:rPr>
              <w:t>校验通过，待上架</w:t>
            </w:r>
          </w:p>
        </w:tc>
      </w:tr>
      <w:tr>
        <w:trPr>
          <w:cantSplit w:val="1"/>
        </w:trPr>
        <w:tc>
          <w:tcPr>
            <w:tcW w:w="2880"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8"/>
              </w:rPr>
              <w:t>LISTED</w:t>
            </w:r>
          </w:p>
        </w:tc>
        <w:tc>
          <w:tcPr>
            <w:tcW w:w="6912"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8"/>
              </w:rPr>
              <w:t>已上架，等待买家</w:t>
            </w:r>
          </w:p>
        </w:tc>
      </w:tr>
      <w:tr>
        <w:trPr>
          <w:cantSplit w:val="1"/>
        </w:trPr>
        <w:tc>
          <w:tcPr>
            <w:tcW w:w="2880"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8"/>
              </w:rPr>
              <w:t>MATCHED</w:t>
            </w:r>
          </w:p>
        </w:tc>
        <w:tc>
          <w:tcPr>
            <w:tcW w:w="6912"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8"/>
              </w:rPr>
              <w:t>已匹配买家</w:t>
            </w:r>
          </w:p>
        </w:tc>
      </w:tr>
      <w:tr>
        <w:trPr>
          <w:cantSplit w:val="1"/>
        </w:trPr>
        <w:tc>
          <w:tcPr>
            <w:tcW w:w="2880"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8"/>
              </w:rPr>
              <w:t>SELLING</w:t>
            </w:r>
          </w:p>
        </w:tc>
        <w:tc>
          <w:tcPr>
            <w:tcW w:w="6912"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8"/>
              </w:rPr>
              <w:t>P2P卖出进行中</w:t>
            </w:r>
          </w:p>
        </w:tc>
      </w:tr>
      <w:tr>
        <w:trPr>
          <w:cantSplit w:val="1"/>
        </w:trPr>
        <w:tc>
          <w:tcPr>
            <w:tcW w:w="2880"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8"/>
              </w:rPr>
              <w:t>SOLD</w:t>
            </w:r>
          </w:p>
        </w:tc>
        <w:tc>
          <w:tcPr>
            <w:tcW w:w="6912"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8"/>
              </w:rPr>
              <w:t>已卖出并完成结算</w:t>
            </w:r>
          </w:p>
        </w:tc>
      </w:tr>
    </w:tbl>
    <w:p>
      <w:pPr>
        <w:spacing w:after="20"/>
      </w:pPr>
    </w:p>
    <w:p>
      <w:pPr>
        <w:spacing w:after="120" w:line="307" w:lineRule="auto"/>
      </w:pPr>
      <w:r>
        <w:rPr>
          <w:rFonts w:hint="eastAsia" w:ascii="Noto Sans CJK SC" w:hAnsi="Noto Sans CJK SC" w:eastAsia="Noto Sans CJK SC"/>
          <w:b w:val="0"/>
          <w:sz w:val="21"/>
        </w:rPr>
        <w:t>到期时应执行：到期扫描 → 计算下一成交价 → 计算70%平台手续费及85%Drama</w:t>
      </w:r>
      <w:r>
        <w:rPr>
          <w:rFonts w:hint="eastAsia" w:ascii="Noto Sans CJK SC" w:hAnsi="Noto Sans CJK SC" w:eastAsia="Noto Sans CJK SC"/>
          <w:b w:val="0"/>
          <w:sz w:val="21"/>
        </w:rPr>
        <w:t>总占用 → Drama</w:t>
      </w:r>
      <w:r>
        <w:rPr>
          <w:rFonts w:hint="eastAsia" w:ascii="Noto Sans CJK SC" w:hAnsi="Noto Sans CJK SC" w:eastAsia="Noto Sans CJK SC"/>
          <w:b w:val="0"/>
          <w:sz w:val="21"/>
        </w:rPr>
        <w:t>余额校验 → 锁定/扣除所需Drama</w:t>
      </w:r>
      <w:r>
        <w:rPr>
          <w:rFonts w:hint="eastAsia" w:ascii="Noto Sans CJK SC" w:hAnsi="Noto Sans CJK SC" w:eastAsia="Noto Sans CJK SC"/>
          <w:b w:val="0"/>
          <w:sz w:val="21"/>
        </w:rPr>
        <w:t xml:space="preserve"> → 创建卖单 → 等待下一买家。</w:t>
      </w:r>
    </w:p>
    <w:tbl>
      <w:tblPr>
        <w:tblW w:w="0" w:type="auto"/>
        <w:jc w:val="center"/>
        <w:tblLayout w:type="fixed"/>
        <w:tblLook w:firstRow="1" w:lastRow="0" w:firstColumn="1" w:lastColumn="0" w:noHBand="0" w:noVBand="1" w:val="04A0"/>
      </w:tblPr>
      <w:tblGrid>
        <w:gridCol w:w="10166"/>
      </w:tblGrid>
      <w:tr>
        <w:trPr>
          <w:cantSplit w:val="1"/>
        </w:trPr>
        <w:tc>
          <w:tcPr>
            <w:tcW w:w="10166" w:type="dxa"/>
            <w:tcBorders>
              <w:left w:val="single" w:color="2F75B5" w:sz="18"/>
            </w:tcBorders>
            <w:shd w:fill="EAF2F8"/>
            <w:tcMar>
              <w:top w:w="140" w:type="dxa"/>
              <w:left w:w="160" w:type="dxa"/>
              <w:bottom w:w="140" w:type="dxa"/>
              <w:right w:w="160" w:type="dxa"/>
            </w:tcMar>
          </w:tcPr>
          <w:p>
            <w:pPr>
              <w:keepNext w:val="1"/>
              <w:spacing w:after="80"/>
            </w:pPr>
            <w:r>
              <w:rPr>
                <w:rFonts w:hint="eastAsia" w:ascii="Noto Sans CJK SC" w:hAnsi="Noto Sans CJK SC" w:eastAsia="Noto Sans CJK SC"/>
                <w:b w:val="1"/>
                <w:color w:val="2F75B5"/>
                <w:sz w:val="21"/>
              </w:rPr>
              <w:t>核心定义</w:t>
            </w:r>
          </w:p>
          <w:p>
            <w:pPr>
              <w:spacing w:after="0" w:line="293" w:lineRule="auto"/>
            </w:pPr>
            <w:r>
              <w:rPr>
                <w:rFonts w:hint="eastAsia" w:ascii="Noto Sans CJK SC" w:hAnsi="Noto Sans CJK SC" w:eastAsia="Noto Sans CJK SC"/>
                <w:b w:val="0"/>
                <w:color w:val="1F1F1F"/>
                <w:sz w:val="19"/>
              </w:rPr>
              <w:t>“自动上架”不等于“自动成交”。只有下一位买家真实付款并完成卖家放行，原持有人才真正实现退出和收益。</w:t>
            </w:r>
          </w:p>
        </w:tc>
      </w:tr>
    </w:tbl>
    <w:p>
      <w:pPr>
        <w:spacing w:after="20"/>
      </w:pPr>
    </w:p>
    <w:p>
      <w:pPr>
        <w:pStyle w:val="000008"/>
      </w:pPr>
      <w:r>
        <w:rPr>
          <w:rFonts w:hint="eastAsia" w:ascii="Noto Sans CJK SC" w:hAnsi="Noto Sans CJK SC" w:eastAsia="Noto Sans CJK SC"/>
          <w:b w:val="0"/>
          <w:sz w:val="21"/>
        </w:rPr>
        <w:t>9. 10代代理返佣模型</w:t>
      </w:r>
    </w:p>
    <w:tbl>
      <w:tblPr>
        <w:tblStyle w:val="000049"/>
        <w:tblW w:w="0" w:type="auto"/>
        <w:jc w:val="center"/>
        <w:tblLayout w:type="fixed"/>
        <w:tblLook w:firstRow="1" w:lastRow="0" w:firstColumn="1" w:lastColumn="0" w:noHBand="0" w:noVBand="1" w:val="04A0"/>
      </w:tblPr>
      <w:tblGrid>
        <w:gridCol w:w="3389"/>
        <w:gridCol w:w="3389"/>
        <w:gridCol w:w="3389"/>
      </w:tblGrid>
      <w:tr>
        <w:trPr>
          <w:cantSplit w:val="1"/>
          <w:tblHeader w:val="1"/>
        </w:trPr>
        <w:tc>
          <w:tcPr>
            <w:tcW w:w="2160" w:type="dxa"/>
            <w:shd w:fill="1F4E78"/>
            <w:tcMar>
              <w:top w:w="120" w:type="dxa"/>
              <w:left w:w="110" w:type="dxa"/>
              <w:bottom w:w="120" w:type="dxa"/>
              <w:right w:w="110" w:type="dxa"/>
            </w:tcMar>
            <w:vAlign w:val="center"/>
          </w:tcPr>
          <w:p>
            <w:pPr>
              <w:spacing w:after="0" w:line="252" w:lineRule="auto"/>
              <w:jc w:val="center"/>
            </w:pPr>
            <w:r>
              <w:rPr>
                <w:rFonts w:hint="eastAsia" w:ascii="Noto Sans CJK SC" w:hAnsi="Noto Sans CJK SC" w:eastAsia="Noto Sans CJK SC"/>
                <w:b w:val="1"/>
                <w:color w:val="FFFFFF"/>
                <w:sz w:val="17"/>
              </w:rPr>
              <w:t>代理层级</w:t>
            </w:r>
          </w:p>
        </w:tc>
        <w:tc>
          <w:tcPr>
            <w:tcW w:w="2016" w:type="dxa"/>
            <w:shd w:fill="1F4E78"/>
            <w:tcMar>
              <w:top w:w="120" w:type="dxa"/>
              <w:left w:w="110" w:type="dxa"/>
              <w:bottom w:w="120" w:type="dxa"/>
              <w:right w:w="110" w:type="dxa"/>
            </w:tcMar>
            <w:vAlign w:val="center"/>
          </w:tcPr>
          <w:p>
            <w:pPr>
              <w:spacing w:after="0" w:line="252" w:lineRule="auto"/>
              <w:jc w:val="center"/>
            </w:pPr>
            <w:r>
              <w:rPr>
                <w:rFonts w:hint="eastAsia" w:ascii="Noto Sans CJK SC" w:hAnsi="Noto Sans CJK SC" w:eastAsia="Noto Sans CJK SC"/>
                <w:b w:val="1"/>
                <w:color w:val="FFFFFF"/>
                <w:sz w:val="17"/>
              </w:rPr>
              <w:t>返佣比例</w:t>
            </w:r>
          </w:p>
        </w:tc>
        <w:tc>
          <w:tcPr>
            <w:tcW w:w="5616" w:type="dxa"/>
            <w:shd w:fill="1F4E78"/>
            <w:tcMar>
              <w:top w:w="120" w:type="dxa"/>
              <w:left w:w="110" w:type="dxa"/>
              <w:bottom w:w="120" w:type="dxa"/>
              <w:right w:w="110" w:type="dxa"/>
            </w:tcMar>
            <w:vAlign w:val="center"/>
          </w:tcPr>
          <w:p>
            <w:pPr>
              <w:spacing w:after="0" w:line="252" w:lineRule="auto"/>
              <w:jc w:val="center"/>
            </w:pPr>
            <w:r>
              <w:rPr>
                <w:rFonts w:hint="eastAsia" w:ascii="Noto Sans CJK SC" w:hAnsi="Noto Sans CJK SC" w:eastAsia="Noto Sans CJK SC"/>
                <w:b w:val="1"/>
                <w:color w:val="FFFFFF"/>
                <w:sz w:val="17"/>
              </w:rPr>
              <w:t>返佣基数</w:t>
            </w:r>
          </w:p>
        </w:tc>
      </w:tr>
      <w:tr>
        <w:trPr>
          <w:cantSplit w:val="1"/>
        </w:trPr>
        <w:tc>
          <w:tcPr>
            <w:tcW w:w="2160"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第1代</w:t>
            </w:r>
          </w:p>
        </w:tc>
        <w:tc>
          <w:tcPr>
            <w:tcW w:w="2016"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7"/>
              </w:rPr>
              <w:t>7%</w:t>
            </w:r>
          </w:p>
        </w:tc>
        <w:tc>
          <w:tcPr>
            <w:tcW w:w="5616"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下级实际产生的平台手续费</w:t>
            </w:r>
          </w:p>
        </w:tc>
      </w:tr>
      <w:tr>
        <w:trPr>
          <w:cantSplit w:val="1"/>
        </w:trPr>
        <w:tc>
          <w:tcPr>
            <w:tcW w:w="2160"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第2代</w:t>
            </w:r>
          </w:p>
        </w:tc>
        <w:tc>
          <w:tcPr>
            <w:tcW w:w="2016"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7"/>
              </w:rPr>
              <w:t>7%</w:t>
            </w:r>
          </w:p>
        </w:tc>
        <w:tc>
          <w:tcPr>
            <w:tcW w:w="5616"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下级实际产生的平台手续费</w:t>
            </w:r>
          </w:p>
        </w:tc>
      </w:tr>
      <w:tr>
        <w:trPr>
          <w:cantSplit w:val="1"/>
        </w:trPr>
        <w:tc>
          <w:tcPr>
            <w:tcW w:w="2160"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第3代</w:t>
            </w:r>
          </w:p>
        </w:tc>
        <w:tc>
          <w:tcPr>
            <w:tcW w:w="2016"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7"/>
              </w:rPr>
              <w:t>7%</w:t>
            </w:r>
          </w:p>
        </w:tc>
        <w:tc>
          <w:tcPr>
            <w:tcW w:w="5616"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下级实际产生的平台手续费</w:t>
            </w:r>
          </w:p>
        </w:tc>
      </w:tr>
      <w:tr>
        <w:trPr>
          <w:cantSplit w:val="1"/>
        </w:trPr>
        <w:tc>
          <w:tcPr>
            <w:tcW w:w="2160"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第4代</w:t>
            </w:r>
          </w:p>
        </w:tc>
        <w:tc>
          <w:tcPr>
            <w:tcW w:w="2016"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7"/>
              </w:rPr>
              <w:t>2%</w:t>
            </w:r>
          </w:p>
        </w:tc>
        <w:tc>
          <w:tcPr>
            <w:tcW w:w="5616"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下级实际产生的平台手续费</w:t>
            </w:r>
          </w:p>
        </w:tc>
      </w:tr>
      <w:tr>
        <w:trPr>
          <w:cantSplit w:val="1"/>
        </w:trPr>
        <w:tc>
          <w:tcPr>
            <w:tcW w:w="2160"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第5代</w:t>
            </w:r>
          </w:p>
        </w:tc>
        <w:tc>
          <w:tcPr>
            <w:tcW w:w="2016"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7"/>
              </w:rPr>
              <w:t>2%</w:t>
            </w:r>
          </w:p>
        </w:tc>
        <w:tc>
          <w:tcPr>
            <w:tcW w:w="5616"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下级实际产生的平台手续费</w:t>
            </w:r>
          </w:p>
        </w:tc>
      </w:tr>
      <w:tr>
        <w:trPr>
          <w:cantSplit w:val="1"/>
        </w:trPr>
        <w:tc>
          <w:tcPr>
            <w:tcW w:w="2160"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第6代</w:t>
            </w:r>
          </w:p>
        </w:tc>
        <w:tc>
          <w:tcPr>
            <w:tcW w:w="2016"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7"/>
              </w:rPr>
              <w:t>2%</w:t>
            </w:r>
          </w:p>
        </w:tc>
        <w:tc>
          <w:tcPr>
            <w:tcW w:w="5616"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下级实际产生的平台手续费</w:t>
            </w:r>
          </w:p>
        </w:tc>
      </w:tr>
      <w:tr>
        <w:trPr>
          <w:cantSplit w:val="1"/>
        </w:trPr>
        <w:tc>
          <w:tcPr>
            <w:tcW w:w="2160"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第7代</w:t>
            </w:r>
          </w:p>
        </w:tc>
        <w:tc>
          <w:tcPr>
            <w:tcW w:w="2016"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7"/>
              </w:rPr>
              <w:t>2%</w:t>
            </w:r>
          </w:p>
        </w:tc>
        <w:tc>
          <w:tcPr>
            <w:tcW w:w="5616"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下级实际产生的平台手续费</w:t>
            </w:r>
          </w:p>
        </w:tc>
      </w:tr>
      <w:tr>
        <w:trPr>
          <w:cantSplit w:val="1"/>
        </w:trPr>
        <w:tc>
          <w:tcPr>
            <w:tcW w:w="2160"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第8代</w:t>
            </w:r>
          </w:p>
        </w:tc>
        <w:tc>
          <w:tcPr>
            <w:tcW w:w="2016"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7"/>
              </w:rPr>
              <w:t>2%</w:t>
            </w:r>
          </w:p>
        </w:tc>
        <w:tc>
          <w:tcPr>
            <w:tcW w:w="5616"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下级实际产生的平台手续费</w:t>
            </w:r>
          </w:p>
        </w:tc>
      </w:tr>
      <w:tr>
        <w:trPr>
          <w:cantSplit w:val="1"/>
        </w:trPr>
        <w:tc>
          <w:tcPr>
            <w:tcW w:w="2160"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第9代</w:t>
            </w:r>
          </w:p>
        </w:tc>
        <w:tc>
          <w:tcPr>
            <w:tcW w:w="2016"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7"/>
              </w:rPr>
              <w:t>2%</w:t>
            </w:r>
          </w:p>
        </w:tc>
        <w:tc>
          <w:tcPr>
            <w:tcW w:w="5616"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下级实际产生的平台手续费</w:t>
            </w:r>
          </w:p>
        </w:tc>
      </w:tr>
      <w:tr>
        <w:trPr>
          <w:cantSplit w:val="1"/>
        </w:trPr>
        <w:tc>
          <w:tcPr>
            <w:tcW w:w="2160"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第10代</w:t>
            </w:r>
          </w:p>
        </w:tc>
        <w:tc>
          <w:tcPr>
            <w:tcW w:w="2016"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7"/>
              </w:rPr>
              <w:t>2%</w:t>
            </w:r>
          </w:p>
        </w:tc>
        <w:tc>
          <w:tcPr>
            <w:tcW w:w="5616"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下级实际产生的平台手续费</w:t>
            </w:r>
          </w:p>
        </w:tc>
      </w:tr>
    </w:tbl>
    <w:p>
      <w:pPr>
        <w:spacing w:after="20"/>
      </w:pPr>
    </w:p>
    <w:tbl>
      <w:tblPr>
        <w:tblW w:w="0" w:type="auto"/>
        <w:jc w:val="center"/>
        <w:tblLayout w:type="fixed"/>
        <w:tblLook w:firstRow="1" w:lastRow="0" w:firstColumn="1" w:lastColumn="0" w:noHBand="0" w:noVBand="1" w:val="04A0"/>
      </w:tblPr>
      <w:tblGrid>
        <w:gridCol w:w="5083"/>
        <w:gridCol w:w="5083"/>
      </w:tblGrid>
      <w:tr>
        <w:trPr>
          <w:cantSplit w:val="1"/>
        </w:trPr>
        <w:tc>
          <w:tcPr>
            <w:tcW w:w="2376" w:type="dxa"/>
            <w:shd w:fill="EAF2F8"/>
            <w:tcMar>
              <w:top w:w="110" w:type="dxa"/>
              <w:left w:w="120" w:type="dxa"/>
              <w:bottom w:w="110" w:type="dxa"/>
              <w:right w:w="120" w:type="dxa"/>
            </w:tcMar>
            <w:vAlign w:val="center"/>
          </w:tcPr>
          <w:p>
            <w:pPr>
              <w:jc w:val="center"/>
            </w:pPr>
            <w:r>
              <w:rPr>
                <w:rFonts w:hint="eastAsia" w:ascii="Noto Sans CJK SC" w:hAnsi="Noto Sans CJK SC" w:eastAsia="Noto Sans CJK SC"/>
                <w:b w:val="1"/>
                <w:color w:val="1F4E78"/>
                <w:sz w:val="19"/>
              </w:rPr>
              <w:t>1-3代佣金</w:t>
            </w:r>
          </w:p>
        </w:tc>
        <w:tc>
          <w:tcPr>
            <w:tcW w:w="7560" w:type="dxa"/>
            <w:tcMar>
              <w:top w:w="110" w:type="dxa"/>
              <w:left w:w="120" w:type="dxa"/>
              <w:bottom w:w="110" w:type="dxa"/>
              <w:right w:w="120" w:type="dxa"/>
            </w:tcMar>
            <w:vAlign w:val="center"/>
          </w:tcPr>
          <w:p>
            <w:r>
              <w:rPr>
                <w:rFonts w:hint="eastAsia" w:ascii="Noto Sans CJK SC" w:hAnsi="Noto Sans CJK SC" w:eastAsia="Noto Sans CJK SC"/>
                <w:b w:val="1"/>
                <w:color w:val="1F1F1F"/>
                <w:sz w:val="20"/>
              </w:rPr>
              <w:t>佣金 = 下级平台手续费 × 7%</w:t>
            </w:r>
          </w:p>
        </w:tc>
      </w:tr>
    </w:tbl>
    <w:p>
      <w:pPr>
        <w:spacing w:after="20"/>
      </w:pPr>
    </w:p>
    <w:tbl>
      <w:tblPr>
        <w:tblW w:w="0" w:type="auto"/>
        <w:jc w:val="center"/>
        <w:tblLayout w:type="fixed"/>
        <w:tblLook w:firstRow="1" w:lastRow="0" w:firstColumn="1" w:lastColumn="0" w:noHBand="0" w:noVBand="1" w:val="04A0"/>
      </w:tblPr>
      <w:tblGrid>
        <w:gridCol w:w="5083"/>
        <w:gridCol w:w="5083"/>
      </w:tblGrid>
      <w:tr>
        <w:trPr>
          <w:cantSplit w:val="1"/>
        </w:trPr>
        <w:tc>
          <w:tcPr>
            <w:tcW w:w="2376" w:type="dxa"/>
            <w:shd w:fill="EAF2F8"/>
            <w:tcMar>
              <w:top w:w="110" w:type="dxa"/>
              <w:left w:w="120" w:type="dxa"/>
              <w:bottom w:w="110" w:type="dxa"/>
              <w:right w:w="120" w:type="dxa"/>
            </w:tcMar>
            <w:vAlign w:val="center"/>
          </w:tcPr>
          <w:p>
            <w:pPr>
              <w:jc w:val="center"/>
            </w:pPr>
            <w:r>
              <w:rPr>
                <w:rFonts w:hint="eastAsia" w:ascii="Noto Sans CJK SC" w:hAnsi="Noto Sans CJK SC" w:eastAsia="Noto Sans CJK SC"/>
                <w:b w:val="1"/>
                <w:color w:val="1F4E78"/>
                <w:sz w:val="19"/>
              </w:rPr>
              <w:t>4-10代佣金</w:t>
            </w:r>
          </w:p>
        </w:tc>
        <w:tc>
          <w:tcPr>
            <w:tcW w:w="7560" w:type="dxa"/>
            <w:tcMar>
              <w:top w:w="110" w:type="dxa"/>
              <w:left w:w="120" w:type="dxa"/>
              <w:bottom w:w="110" w:type="dxa"/>
              <w:right w:w="120" w:type="dxa"/>
            </w:tcMar>
            <w:vAlign w:val="center"/>
          </w:tcPr>
          <w:p>
            <w:r>
              <w:rPr>
                <w:rFonts w:hint="eastAsia" w:ascii="Noto Sans CJK SC" w:hAnsi="Noto Sans CJK SC" w:eastAsia="Noto Sans CJK SC"/>
                <w:b w:val="1"/>
                <w:color w:val="1F1F1F"/>
                <w:sz w:val="20"/>
              </w:rPr>
              <w:t>佣金 = 下级平台手续费 × 2%</w:t>
            </w:r>
          </w:p>
        </w:tc>
      </w:tr>
    </w:tbl>
    <w:p>
      <w:pPr>
        <w:spacing w:after="20"/>
      </w:pPr>
    </w:p>
    <w:tbl>
      <w:tblPr>
        <w:tblStyle w:val="000049"/>
        <w:tblW w:w="0" w:type="auto"/>
        <w:jc w:val="center"/>
        <w:tblLayout w:type="fixed"/>
        <w:tblLook w:firstRow="1" w:lastRow="0" w:firstColumn="1" w:lastColumn="0" w:noHBand="0" w:noVBand="1" w:val="04A0"/>
      </w:tblPr>
      <w:tblGrid>
        <w:gridCol w:w="3389"/>
        <w:gridCol w:w="3389"/>
        <w:gridCol w:w="3389"/>
      </w:tblGrid>
      <w:tr>
        <w:trPr>
          <w:cantSplit w:val="1"/>
          <w:tblHeader w:val="1"/>
        </w:trPr>
        <w:tc>
          <w:tcPr>
            <w:tcW w:w="3312" w:type="dxa"/>
            <w:shd w:fill="1F4E78"/>
            <w:tcMar>
              <w:top w:w="120" w:type="dxa"/>
              <w:left w:w="110" w:type="dxa"/>
              <w:bottom w:w="120" w:type="dxa"/>
              <w:right w:w="110" w:type="dxa"/>
            </w:tcMar>
            <w:vAlign w:val="center"/>
          </w:tcPr>
          <w:p>
            <w:pPr>
              <w:spacing w:after="0" w:line="252" w:lineRule="auto"/>
              <w:jc w:val="center"/>
            </w:pPr>
            <w:r>
              <w:rPr>
                <w:rFonts w:hint="eastAsia" w:ascii="Noto Sans CJK SC" w:hAnsi="Noto Sans CJK SC" w:eastAsia="Noto Sans CJK SC"/>
                <w:b w:val="1"/>
                <w:color w:val="FFFFFF"/>
                <w:sz w:val="18"/>
              </w:rPr>
              <w:t>创新区¥10,000案例</w:t>
            </w:r>
          </w:p>
        </w:tc>
        <w:tc>
          <w:tcPr>
            <w:tcW w:w="3312" w:type="dxa"/>
            <w:shd w:fill="1F4E78"/>
            <w:tcMar>
              <w:top w:w="120" w:type="dxa"/>
              <w:left w:w="110" w:type="dxa"/>
              <w:bottom w:w="120" w:type="dxa"/>
              <w:right w:w="110" w:type="dxa"/>
            </w:tcMar>
            <w:vAlign w:val="center"/>
          </w:tcPr>
          <w:p>
            <w:pPr>
              <w:spacing w:after="0" w:line="252" w:lineRule="auto"/>
              <w:jc w:val="center"/>
            </w:pPr>
            <w:r>
              <w:rPr>
                <w:rFonts w:hint="eastAsia" w:ascii="Noto Sans CJK SC" w:hAnsi="Noto Sans CJK SC" w:eastAsia="Noto Sans CJK SC"/>
                <w:b w:val="1"/>
                <w:color w:val="FFFFFF"/>
                <w:sz w:val="18"/>
              </w:rPr>
              <w:t>公式</w:t>
            </w:r>
          </w:p>
        </w:tc>
        <w:tc>
          <w:tcPr>
            <w:tcW w:w="3168" w:type="dxa"/>
            <w:shd w:fill="1F4E78"/>
            <w:tcMar>
              <w:top w:w="120" w:type="dxa"/>
              <w:left w:w="110" w:type="dxa"/>
              <w:bottom w:w="120" w:type="dxa"/>
              <w:right w:w="110" w:type="dxa"/>
            </w:tcMar>
            <w:vAlign w:val="center"/>
          </w:tcPr>
          <w:p>
            <w:pPr>
              <w:spacing w:after="0" w:line="252" w:lineRule="auto"/>
              <w:jc w:val="center"/>
            </w:pPr>
            <w:r>
              <w:rPr>
                <w:rFonts w:hint="eastAsia" w:ascii="Noto Sans CJK SC" w:hAnsi="Noto Sans CJK SC" w:eastAsia="Noto Sans CJK SC"/>
                <w:b w:val="1"/>
                <w:color w:val="FFFFFF"/>
                <w:sz w:val="18"/>
              </w:rPr>
              <w:t>单级佣金</w:t>
            </w:r>
          </w:p>
        </w:tc>
      </w:tr>
      <w:tr>
        <w:trPr>
          <w:cantSplit w:val="1"/>
        </w:trPr>
        <w:tc>
          <w:tcPr>
            <w:tcW w:w="3312"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8"/>
              </w:rPr>
              <w:t>第1-3代</w:t>
            </w:r>
          </w:p>
        </w:tc>
        <w:tc>
          <w:tcPr>
            <w:tcW w:w="3312"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8"/>
              </w:rPr>
              <w:t>210 × 7%</w:t>
            </w:r>
          </w:p>
        </w:tc>
        <w:tc>
          <w:tcPr>
            <w:tcW w:w="3168"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8"/>
              </w:rPr>
              <w:t>14.7 Drama</w:t>
            </w:r>
            <w:r>
              <w:rPr>
                <w:rFonts w:hint="eastAsia" w:ascii="Noto Sans CJK SC" w:hAnsi="Noto Sans CJK SC" w:eastAsia="Noto Sans CJK SC"/>
                <w:b w:val="0"/>
                <w:color w:val="1F1F1F"/>
                <w:sz w:val="18"/>
              </w:rPr>
              <w:t xml:space="preserve"> / 级</w:t>
            </w:r>
          </w:p>
        </w:tc>
      </w:tr>
      <w:tr>
        <w:trPr>
          <w:cantSplit w:val="1"/>
        </w:trPr>
        <w:tc>
          <w:tcPr>
            <w:tcW w:w="3312"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8"/>
              </w:rPr>
              <w:t>第4-10代</w:t>
            </w:r>
          </w:p>
        </w:tc>
        <w:tc>
          <w:tcPr>
            <w:tcW w:w="3312"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8"/>
              </w:rPr>
              <w:t>210 × 2%</w:t>
            </w:r>
          </w:p>
        </w:tc>
        <w:tc>
          <w:tcPr>
            <w:tcW w:w="3168"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8"/>
              </w:rPr>
              <w:t>4.2 Drama</w:t>
            </w:r>
            <w:r>
              <w:rPr>
                <w:rFonts w:hint="eastAsia" w:ascii="Noto Sans CJK SC" w:hAnsi="Noto Sans CJK SC" w:eastAsia="Noto Sans CJK SC"/>
                <w:b w:val="0"/>
                <w:color w:val="1F1F1F"/>
                <w:sz w:val="18"/>
              </w:rPr>
              <w:t xml:space="preserve"> / 级</w:t>
            </w:r>
          </w:p>
        </w:tc>
      </w:tr>
    </w:tbl>
    <w:p>
      <w:pPr>
        <w:spacing w:after="20"/>
      </w:pPr>
    </w:p>
    <w:p>
      <w:pPr>
        <w:spacing w:after="120" w:line="307" w:lineRule="auto"/>
      </w:pPr>
      <w:r>
        <w:rPr>
          <w:rFonts w:hint="eastAsia" w:ascii="Noto Sans CJK SC" w:hAnsi="Noto Sans CJK SC" w:eastAsia="Noto Sans CJK SC"/>
          <w:b w:val="0"/>
          <w:sz w:val="21"/>
        </w:rPr>
        <w:t>若10层上级全部存在且都符合返佣资格，则总返佣占平台手续费：3×7% + 7×2% = 35%。因此平台手续费池理论剩余65%，但尚未扣除积分成本、GIP、IP成本、运营、支付、税费和风险准备等。</w:t>
      </w:r>
    </w:p>
    <w:p>
      <w:pPr>
        <w:pStyle w:val="000008"/>
      </w:pPr>
      <w:r>
        <w:rPr>
          <w:rFonts w:hint="eastAsia" w:ascii="Noto Sans CJK SC" w:hAnsi="Noto Sans CJK SC" w:eastAsia="Noto Sans CJK SC"/>
          <w:b w:val="0"/>
          <w:sz w:val="21"/>
        </w:rPr>
        <w:t>10. GIP与资产积分机制</w:t>
      </w:r>
    </w:p>
    <w:tbl>
      <w:tblPr>
        <w:tblStyle w:val="000049"/>
        <w:tblW w:w="0" w:type="auto"/>
        <w:jc w:val="center"/>
        <w:tblLayout w:type="fixed"/>
        <w:tblLook w:firstRow="1" w:lastRow="0" w:firstColumn="1" w:lastColumn="0" w:noHBand="0" w:noVBand="1" w:val="04A0"/>
      </w:tblPr>
      <w:tblGrid>
        <w:gridCol w:w="3389"/>
        <w:gridCol w:w="3389"/>
        <w:gridCol w:w="3389"/>
      </w:tblGrid>
      <w:tr>
        <w:trPr>
          <w:cantSplit w:val="1"/>
          <w:tblHeader w:val="1"/>
        </w:trPr>
        <w:tc>
          <w:tcPr>
            <w:tcW w:w="3600" w:type="dxa"/>
            <w:shd w:fill="1F4E78"/>
            <w:tcMar>
              <w:top w:w="120" w:type="dxa"/>
              <w:left w:w="110" w:type="dxa"/>
              <w:bottom w:w="120" w:type="dxa"/>
              <w:right w:w="110" w:type="dxa"/>
            </w:tcMar>
            <w:vAlign w:val="center"/>
          </w:tcPr>
          <w:p>
            <w:pPr>
              <w:spacing w:after="0" w:line="252" w:lineRule="auto"/>
              <w:jc w:val="center"/>
            </w:pPr>
            <w:r>
              <w:rPr>
                <w:rFonts w:hint="eastAsia" w:ascii="Noto Sans CJK SC" w:hAnsi="Noto Sans CJK SC" w:eastAsia="Noto Sans CJK SC"/>
                <w:b w:val="1"/>
                <w:color w:val="FFFFFF"/>
                <w:sz w:val="18"/>
              </w:rPr>
              <w:t>专区/档位</w:t>
            </w:r>
          </w:p>
        </w:tc>
        <w:tc>
          <w:tcPr>
            <w:tcW w:w="3024" w:type="dxa"/>
            <w:shd w:fill="1F4E78"/>
            <w:tcMar>
              <w:top w:w="120" w:type="dxa"/>
              <w:left w:w="110" w:type="dxa"/>
              <w:bottom w:w="120" w:type="dxa"/>
              <w:right w:w="110" w:type="dxa"/>
            </w:tcMar>
            <w:vAlign w:val="center"/>
          </w:tcPr>
          <w:p>
            <w:pPr>
              <w:spacing w:after="0" w:line="252" w:lineRule="auto"/>
              <w:jc w:val="center"/>
            </w:pPr>
            <w:r>
              <w:rPr>
                <w:rFonts w:hint="eastAsia" w:ascii="Noto Sans CJK SC" w:hAnsi="Noto Sans CJK SC" w:eastAsia="Noto Sans CJK SC"/>
                <w:b w:val="1"/>
                <w:color w:val="FFFFFF"/>
                <w:sz w:val="18"/>
              </w:rPr>
              <w:t>抢购成功</w:t>
            </w:r>
          </w:p>
        </w:tc>
        <w:tc>
          <w:tcPr>
            <w:tcW w:w="3024" w:type="dxa"/>
            <w:shd w:fill="1F4E78"/>
            <w:tcMar>
              <w:top w:w="120" w:type="dxa"/>
              <w:left w:w="110" w:type="dxa"/>
              <w:bottom w:w="120" w:type="dxa"/>
              <w:right w:w="110" w:type="dxa"/>
            </w:tcMar>
            <w:vAlign w:val="center"/>
          </w:tcPr>
          <w:p>
            <w:pPr>
              <w:spacing w:after="0" w:line="252" w:lineRule="auto"/>
              <w:jc w:val="center"/>
            </w:pPr>
            <w:r>
              <w:rPr>
                <w:rFonts w:hint="eastAsia" w:ascii="Noto Sans CJK SC" w:hAnsi="Noto Sans CJK SC" w:eastAsia="Noto Sans CJK SC"/>
                <w:b w:val="1"/>
                <w:color w:val="FFFFFF"/>
                <w:sz w:val="18"/>
              </w:rPr>
              <w:t>抢购失败</w:t>
            </w:r>
          </w:p>
        </w:tc>
      </w:tr>
      <w:tr>
        <w:trPr>
          <w:cantSplit w:val="1"/>
        </w:trPr>
        <w:tc>
          <w:tcPr>
            <w:tcW w:w="3600"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8"/>
              </w:rPr>
              <w:t>创新区300-1000</w:t>
            </w:r>
          </w:p>
        </w:tc>
        <w:tc>
          <w:tcPr>
            <w:tcW w:w="3024"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8"/>
              </w:rPr>
              <w:t>0</w:t>
            </w:r>
          </w:p>
        </w:tc>
        <w:tc>
          <w:tcPr>
            <w:tcW w:w="3024"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8"/>
              </w:rPr>
              <w:t>0</w:t>
            </w:r>
          </w:p>
        </w:tc>
      </w:tr>
      <w:tr>
        <w:trPr>
          <w:cantSplit w:val="1"/>
        </w:trPr>
        <w:tc>
          <w:tcPr>
            <w:tcW w:w="3600"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8"/>
              </w:rPr>
              <w:t>创新区1000-5000</w:t>
            </w:r>
          </w:p>
        </w:tc>
        <w:tc>
          <w:tcPr>
            <w:tcW w:w="3024"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8"/>
              </w:rPr>
              <w:t>600 GIP</w:t>
            </w:r>
          </w:p>
        </w:tc>
        <w:tc>
          <w:tcPr>
            <w:tcW w:w="3024"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8"/>
              </w:rPr>
              <w:t>300 GIP</w:t>
            </w:r>
          </w:p>
        </w:tc>
      </w:tr>
      <w:tr>
        <w:trPr>
          <w:cantSplit w:val="1"/>
        </w:trPr>
        <w:tc>
          <w:tcPr>
            <w:tcW w:w="3600"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8"/>
              </w:rPr>
              <w:t>创新区5000-12000</w:t>
            </w:r>
          </w:p>
        </w:tc>
        <w:tc>
          <w:tcPr>
            <w:tcW w:w="3024"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8"/>
              </w:rPr>
              <w:t>1700 GIP</w:t>
            </w:r>
          </w:p>
        </w:tc>
        <w:tc>
          <w:tcPr>
            <w:tcW w:w="3024"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8"/>
              </w:rPr>
              <w:t>850 GIP</w:t>
            </w:r>
          </w:p>
        </w:tc>
      </w:tr>
      <w:tr>
        <w:trPr>
          <w:cantSplit w:val="1"/>
        </w:trPr>
        <w:tc>
          <w:tcPr>
            <w:tcW w:w="3600"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8"/>
              </w:rPr>
              <w:t>普通区1000-5000</w:t>
            </w:r>
          </w:p>
        </w:tc>
        <w:tc>
          <w:tcPr>
            <w:tcW w:w="3024"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8"/>
              </w:rPr>
              <w:t>600 GIP</w:t>
            </w:r>
          </w:p>
        </w:tc>
        <w:tc>
          <w:tcPr>
            <w:tcW w:w="3024"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8"/>
              </w:rPr>
              <w:t>300 GIP</w:t>
            </w:r>
          </w:p>
        </w:tc>
      </w:tr>
      <w:tr>
        <w:trPr>
          <w:cantSplit w:val="1"/>
        </w:trPr>
        <w:tc>
          <w:tcPr>
            <w:tcW w:w="3600"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8"/>
              </w:rPr>
              <w:t>普通区5000-12000</w:t>
            </w:r>
          </w:p>
        </w:tc>
        <w:tc>
          <w:tcPr>
            <w:tcW w:w="3024"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8"/>
              </w:rPr>
              <w:t>1700 GIP</w:t>
            </w:r>
          </w:p>
        </w:tc>
        <w:tc>
          <w:tcPr>
            <w:tcW w:w="3024"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8"/>
              </w:rPr>
              <w:t>850 GIP</w:t>
            </w:r>
          </w:p>
        </w:tc>
      </w:tr>
    </w:tbl>
    <w:p>
      <w:pPr>
        <w:spacing w:after="20"/>
      </w:pPr>
    </w:p>
    <w:p>
      <w:pPr>
        <w:spacing w:after="120" w:line="307" w:lineRule="auto"/>
      </w:pPr>
      <w:r>
        <w:rPr>
          <w:rFonts w:hint="eastAsia" w:ascii="Noto Sans CJK SC" w:hAnsi="Noto Sans CJK SC" w:eastAsia="Noto Sans CJK SC"/>
          <w:b w:val="0"/>
          <w:sz w:val="21"/>
        </w:rPr>
        <w:t>“抢购失败”的触发条件仍需最终确认：建议定义为“已预约且具备抢购资格，但本轮未匹配到可售剧本”，而不是任何打开抢购页面的用户。</w:t>
      </w:r>
    </w:p>
    <w:p>
      <w:pPr>
        <w:spacing w:after="120" w:line="307" w:lineRule="auto"/>
      </w:pPr>
      <w:r>
        <w:rPr>
          <w:rFonts w:hint="eastAsia" w:ascii="Noto Sans CJK SC" w:hAnsi="Noto Sans CJK SC" w:eastAsia="Noto Sans CJK SC"/>
          <w:b w:val="0"/>
          <w:sz w:val="21"/>
        </w:rPr>
        <w:t>资产积分来源于增长金额的15%。由于交易标的已改为短剧剧本，积分的兑换用途应同步重构，不应继续沿用“基金/港股”等历史文案。可考虑兑换短剧IP权益、创作者服务、平台会员、剧本授权抵扣或其他经确认的生态权益。</w:t>
      </w:r>
    </w:p>
    <w:p>
      <w:pPr>
        <w:pStyle w:val="000008"/>
      </w:pPr>
      <w:r>
        <w:rPr>
          <w:rFonts w:hint="eastAsia" w:ascii="Noto Sans CJK SC" w:hAnsi="Noto Sans CJK SC" w:eastAsia="Noto Sans CJK SC"/>
          <w:b w:val="0"/>
          <w:sz w:val="21"/>
        </w:rPr>
        <w:t>11. 短剧剧本发行与生命周期</w:t>
      </w:r>
    </w:p>
    <w:p>
      <w:pPr>
        <w:spacing w:after="120" w:line="307" w:lineRule="auto"/>
      </w:pPr>
      <w:r>
        <w:rPr>
          <w:rFonts w:hint="eastAsia" w:ascii="Noto Sans CJK SC" w:hAnsi="Noto Sans CJK SC" w:eastAsia="Noto Sans CJK SC"/>
          <w:b w:val="0"/>
          <w:sz w:val="21"/>
        </w:rPr>
        <w:t>短剧剧本作为真实业务标的，建议增加“首次发行”和“生命周期管理”，避免只存在用户之间的循环交易。</w:t>
      </w:r>
    </w:p>
    <w:p>
      <w:pPr>
        <w:spacing w:after="80"/>
        <w:ind w:left="317" w:hanging="259"/>
      </w:pPr>
      <w:r>
        <w:rPr>
          <w:rFonts w:hint="eastAsia" w:ascii="Noto Sans CJK SC" w:hAnsi="Noto Sans CJK SC" w:eastAsia="Noto Sans CJK SC"/>
          <w:b w:val="0"/>
          <w:sz w:val="20"/>
        </w:rPr>
        <w:t>1. 剧本方提交剧本和权利证明。</w:t>
      </w:r>
    </w:p>
    <w:p>
      <w:pPr>
        <w:spacing w:after="80"/>
        <w:ind w:left="317" w:hanging="259"/>
      </w:pPr>
      <w:r>
        <w:rPr>
          <w:rFonts w:hint="eastAsia" w:ascii="Noto Sans CJK SC" w:hAnsi="Noto Sans CJK SC" w:eastAsia="Noto Sans CJK SC"/>
          <w:b w:val="0"/>
          <w:sz w:val="20"/>
        </w:rPr>
        <w:t>2. 平台完成内容、版权/授权和合规审核。</w:t>
      </w:r>
    </w:p>
    <w:p>
      <w:pPr>
        <w:spacing w:after="80"/>
        <w:ind w:left="317" w:hanging="259"/>
      </w:pPr>
      <w:r>
        <w:rPr>
          <w:rFonts w:hint="eastAsia" w:ascii="Noto Sans CJK SC" w:hAnsi="Noto Sans CJK SC" w:eastAsia="Noto Sans CJK SC"/>
          <w:b w:val="0"/>
          <w:sz w:val="20"/>
        </w:rPr>
        <w:t>3. 确定首发价格、所属专区、可交易数量/份额、交易期限和权利范围。</w:t>
      </w:r>
    </w:p>
    <w:p>
      <w:pPr>
        <w:spacing w:after="80"/>
        <w:ind w:left="317" w:hanging="259"/>
      </w:pPr>
      <w:r>
        <w:rPr>
          <w:rFonts w:hint="eastAsia" w:ascii="Noto Sans CJK SC" w:hAnsi="Noto Sans CJK SC" w:eastAsia="Noto Sans CJK SC"/>
          <w:b w:val="0"/>
          <w:sz w:val="20"/>
        </w:rPr>
        <w:t>4. 进入首轮预约和抢购，产生首批持有人。</w:t>
      </w:r>
    </w:p>
    <w:p>
      <w:pPr>
        <w:spacing w:after="80"/>
        <w:ind w:left="317" w:hanging="259"/>
      </w:pPr>
      <w:r>
        <w:rPr>
          <w:rFonts w:hint="eastAsia" w:ascii="Noto Sans CJK SC" w:hAnsi="Noto Sans CJK SC" w:eastAsia="Noto Sans CJK SC"/>
          <w:b w:val="0"/>
          <w:sz w:val="20"/>
        </w:rPr>
        <w:t>5. 进入二级P2P交易期：持有 → 到期 → 上架 → 再交易。</w:t>
      </w:r>
    </w:p>
    <w:p>
      <w:pPr>
        <w:spacing w:after="80"/>
        <w:ind w:left="317" w:hanging="259"/>
      </w:pPr>
      <w:r>
        <w:rPr>
          <w:rFonts w:hint="eastAsia" w:ascii="Noto Sans CJK SC" w:hAnsi="Noto Sans CJK SC" w:eastAsia="Noto Sans CJK SC"/>
          <w:b w:val="0"/>
          <w:sz w:val="20"/>
        </w:rPr>
        <w:t>6. 达到价格上限、交易次数上限、交易期限或IP项目节点后停止循环交易。</w:t>
      </w:r>
    </w:p>
    <w:p>
      <w:pPr>
        <w:spacing w:after="80"/>
        <w:ind w:left="317" w:hanging="259"/>
      </w:pPr>
      <w:r>
        <w:rPr>
          <w:rFonts w:hint="eastAsia" w:ascii="Noto Sans CJK SC" w:hAnsi="Noto Sans CJK SC" w:eastAsia="Noto Sans CJK SC"/>
          <w:b w:val="0"/>
          <w:sz w:val="20"/>
        </w:rPr>
        <w:t>7. 进入IP孵化/制作/发行/真实收益兑现阶段，或按照合同约定退出。</w:t>
      </w:r>
    </w:p>
    <w:tbl>
      <w:tblPr>
        <w:tblStyle w:val="000049"/>
        <w:tblW w:w="0" w:type="auto"/>
        <w:jc w:val="center"/>
        <w:tblLayout w:type="fixed"/>
        <w:tblLook w:firstRow="1" w:lastRow="0" w:firstColumn="1" w:lastColumn="0" w:noHBand="0" w:noVBand="1" w:val="04A0"/>
      </w:tblPr>
      <w:tblGrid>
        <w:gridCol w:w="5083"/>
        <w:gridCol w:w="5083"/>
      </w:tblGrid>
      <w:tr>
        <w:trPr>
          <w:cantSplit w:val="1"/>
          <w:tblHeader w:val="1"/>
        </w:trPr>
        <w:tc>
          <w:tcPr>
            <w:tcW w:w="2232" w:type="dxa"/>
            <w:shd w:fill="1F4E78"/>
            <w:tcMar>
              <w:top w:w="120" w:type="dxa"/>
              <w:left w:w="110" w:type="dxa"/>
              <w:bottom w:w="120" w:type="dxa"/>
              <w:right w:w="110" w:type="dxa"/>
            </w:tcMar>
            <w:vAlign w:val="center"/>
          </w:tcPr>
          <w:p>
            <w:pPr>
              <w:spacing w:after="0" w:line="252" w:lineRule="auto"/>
              <w:jc w:val="center"/>
            </w:pPr>
            <w:r>
              <w:rPr>
                <w:rFonts w:hint="eastAsia" w:ascii="Noto Sans CJK SC" w:hAnsi="Noto Sans CJK SC" w:eastAsia="Noto Sans CJK SC"/>
                <w:b w:val="1"/>
                <w:color w:val="FFFFFF"/>
                <w:sz w:val="18"/>
              </w:rPr>
              <w:t>剧本基础字段</w:t>
            </w:r>
          </w:p>
        </w:tc>
        <w:tc>
          <w:tcPr>
            <w:tcW w:w="7560" w:type="dxa"/>
            <w:shd w:fill="1F4E78"/>
            <w:tcMar>
              <w:top w:w="120" w:type="dxa"/>
              <w:left w:w="110" w:type="dxa"/>
              <w:bottom w:w="120" w:type="dxa"/>
              <w:right w:w="110" w:type="dxa"/>
            </w:tcMar>
            <w:vAlign w:val="center"/>
          </w:tcPr>
          <w:p>
            <w:pPr>
              <w:spacing w:after="0" w:line="252" w:lineRule="auto"/>
              <w:jc w:val="center"/>
            </w:pPr>
            <w:r>
              <w:rPr>
                <w:rFonts w:hint="eastAsia" w:ascii="Noto Sans CJK SC" w:hAnsi="Noto Sans CJK SC" w:eastAsia="Noto Sans CJK SC"/>
                <w:b w:val="1"/>
                <w:color w:val="FFFFFF"/>
                <w:sz w:val="18"/>
              </w:rPr>
              <w:t>建议内容</w:t>
            </w:r>
          </w:p>
        </w:tc>
      </w:tr>
      <w:tr>
        <w:trPr>
          <w:cantSplit w:val="1"/>
        </w:trPr>
        <w:tc>
          <w:tcPr>
            <w:tcW w:w="2232"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8"/>
              </w:rPr>
              <w:t>内容信息</w:t>
            </w:r>
          </w:p>
        </w:tc>
        <w:tc>
          <w:tcPr>
            <w:tcW w:w="7560" w:type="dxa"/>
            <w:tcMar>
              <w:top w:w="100" w:type="dxa"/>
              <w:left w:w="110" w:type="dxa"/>
              <w:bottom w:w="100" w:type="dxa"/>
              <w:right w:w="110" w:type="dxa"/>
            </w:tcMar>
            <w:vAlign w:val="center"/>
          </w:tcPr>
          <w:p>
            <w:pPr>
              <w:spacing w:after="0" w:line="259" w:lineRule="auto"/>
              <w:jc w:val="left"/>
            </w:pPr>
            <w:r>
              <w:rPr>
                <w:rFonts w:hint="eastAsia" w:ascii="Noto Sans CJK SC" w:hAnsi="Noto Sans CJK SC" w:eastAsia="Noto Sans CJK SC"/>
                <w:b w:val="0"/>
                <w:color w:val="1F1F1F"/>
                <w:sz w:val="18"/>
              </w:rPr>
              <w:t>名称、作者/编剧、题材、集数、字数、简介、封面、标签</w:t>
            </w:r>
          </w:p>
        </w:tc>
      </w:tr>
      <w:tr>
        <w:trPr>
          <w:cantSplit w:val="1"/>
        </w:trPr>
        <w:tc>
          <w:tcPr>
            <w:tcW w:w="2232"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8"/>
              </w:rPr>
              <w:t>权利信息</w:t>
            </w:r>
          </w:p>
        </w:tc>
        <w:tc>
          <w:tcPr>
            <w:tcW w:w="7560" w:type="dxa"/>
            <w:tcMar>
              <w:top w:w="100" w:type="dxa"/>
              <w:left w:w="110" w:type="dxa"/>
              <w:bottom w:w="100" w:type="dxa"/>
              <w:right w:w="110" w:type="dxa"/>
            </w:tcMar>
            <w:vAlign w:val="center"/>
          </w:tcPr>
          <w:p>
            <w:pPr>
              <w:spacing w:after="0" w:line="259" w:lineRule="auto"/>
              <w:jc w:val="left"/>
            </w:pPr>
            <w:r>
              <w:rPr>
                <w:rFonts w:hint="eastAsia" w:ascii="Noto Sans CJK SC" w:hAnsi="Noto Sans CJK SC" w:eastAsia="Noto Sans CJK SC"/>
                <w:b w:val="0"/>
                <w:color w:val="1F1F1F"/>
                <w:sz w:val="18"/>
              </w:rPr>
              <w:t>版权所有人、授权人、授权期限、是否可转售、改编/拍摄权、是否独家、是否含收益权</w:t>
            </w:r>
          </w:p>
        </w:tc>
      </w:tr>
      <w:tr>
        <w:trPr>
          <w:cantSplit w:val="1"/>
        </w:trPr>
        <w:tc>
          <w:tcPr>
            <w:tcW w:w="2232"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8"/>
              </w:rPr>
              <w:t>交易信息</w:t>
            </w:r>
          </w:p>
        </w:tc>
        <w:tc>
          <w:tcPr>
            <w:tcW w:w="7560" w:type="dxa"/>
            <w:tcMar>
              <w:top w:w="100" w:type="dxa"/>
              <w:left w:w="110" w:type="dxa"/>
              <w:bottom w:w="100" w:type="dxa"/>
              <w:right w:w="110" w:type="dxa"/>
            </w:tcMar>
            <w:vAlign w:val="center"/>
          </w:tcPr>
          <w:p>
            <w:pPr>
              <w:spacing w:after="0" w:line="259" w:lineRule="auto"/>
              <w:jc w:val="left"/>
            </w:pPr>
            <w:r>
              <w:rPr>
                <w:rFonts w:hint="eastAsia" w:ascii="Noto Sans CJK SC" w:hAnsi="Noto Sans CJK SC" w:eastAsia="Noto Sans CJK SC"/>
                <w:b w:val="0"/>
                <w:color w:val="1F1F1F"/>
                <w:sz w:val="18"/>
              </w:rPr>
              <w:t>首发价、当前价、专区、交易次数、当前持有人、状态、规则版本</w:t>
            </w:r>
          </w:p>
        </w:tc>
      </w:tr>
      <w:tr>
        <w:trPr>
          <w:cantSplit w:val="1"/>
        </w:trPr>
        <w:tc>
          <w:tcPr>
            <w:tcW w:w="2232"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8"/>
              </w:rPr>
              <w:t>生命周期</w:t>
            </w:r>
          </w:p>
        </w:tc>
        <w:tc>
          <w:tcPr>
            <w:tcW w:w="7560" w:type="dxa"/>
            <w:tcMar>
              <w:top w:w="100" w:type="dxa"/>
              <w:left w:w="110" w:type="dxa"/>
              <w:bottom w:w="100" w:type="dxa"/>
              <w:right w:w="110" w:type="dxa"/>
            </w:tcMar>
            <w:vAlign w:val="center"/>
          </w:tcPr>
          <w:p>
            <w:pPr>
              <w:spacing w:after="0" w:line="259" w:lineRule="auto"/>
              <w:jc w:val="left"/>
            </w:pPr>
            <w:r>
              <w:rPr>
                <w:rFonts w:hint="eastAsia" w:ascii="Noto Sans CJK SC" w:hAnsi="Noto Sans CJK SC" w:eastAsia="Noto Sans CJK SC"/>
                <w:b w:val="0"/>
                <w:color w:val="1F1F1F"/>
                <w:sz w:val="18"/>
              </w:rPr>
              <w:t>发行、交易、暂停、制作、上线、收益分账、退出</w:t>
            </w:r>
          </w:p>
        </w:tc>
      </w:tr>
    </w:tbl>
    <w:p>
      <w:pPr>
        <w:spacing w:after="20"/>
      </w:pPr>
    </w:p>
    <w:p>
      <w:pPr>
        <w:pStyle w:val="000008"/>
      </w:pPr>
      <w:r>
        <w:rPr>
          <w:rFonts w:hint="eastAsia" w:ascii="Noto Sans CJK SC" w:hAnsi="Noto Sans CJK SC" w:eastAsia="Noto Sans CJK SC"/>
          <w:b w:val="0"/>
          <w:sz w:val="21"/>
        </w:rPr>
        <w:t>12. 订单状态机与账本结算</w:t>
      </w:r>
    </w:p>
    <w:tbl>
      <w:tblPr>
        <w:tblStyle w:val="000049"/>
        <w:tblW w:w="0" w:type="auto"/>
        <w:jc w:val="center"/>
        <w:tblLayout w:type="fixed"/>
        <w:tblLook w:firstRow="1" w:lastRow="0" w:firstColumn="1" w:lastColumn="0" w:noHBand="0" w:noVBand="1" w:val="04A0"/>
      </w:tblPr>
      <w:tblGrid>
        <w:gridCol w:w="5083"/>
        <w:gridCol w:w="5083"/>
      </w:tblGrid>
      <w:tr>
        <w:trPr>
          <w:cantSplit w:val="1"/>
          <w:tblHeader w:val="1"/>
        </w:trPr>
        <w:tc>
          <w:tcPr>
            <w:tcW w:w="2160" w:type="dxa"/>
            <w:shd w:fill="1F4E78"/>
            <w:tcMar>
              <w:top w:w="120" w:type="dxa"/>
              <w:left w:w="110" w:type="dxa"/>
              <w:bottom w:w="120" w:type="dxa"/>
              <w:right w:w="110" w:type="dxa"/>
            </w:tcMar>
            <w:vAlign w:val="center"/>
          </w:tcPr>
          <w:p>
            <w:pPr>
              <w:spacing w:after="0" w:line="252" w:lineRule="auto"/>
              <w:jc w:val="center"/>
            </w:pPr>
            <w:r>
              <w:rPr>
                <w:rFonts w:hint="eastAsia" w:ascii="Noto Sans CJK SC" w:hAnsi="Noto Sans CJK SC" w:eastAsia="Noto Sans CJK SC"/>
                <w:b w:val="1"/>
                <w:color w:val="FFFFFF"/>
                <w:sz w:val="17"/>
              </w:rPr>
              <w:t>阶段</w:t>
            </w:r>
          </w:p>
        </w:tc>
        <w:tc>
          <w:tcPr>
            <w:tcW w:w="7632" w:type="dxa"/>
            <w:shd w:fill="1F4E78"/>
            <w:tcMar>
              <w:top w:w="120" w:type="dxa"/>
              <w:left w:w="110" w:type="dxa"/>
              <w:bottom w:w="120" w:type="dxa"/>
              <w:right w:w="110" w:type="dxa"/>
            </w:tcMar>
            <w:vAlign w:val="center"/>
          </w:tcPr>
          <w:p>
            <w:pPr>
              <w:spacing w:after="0" w:line="252" w:lineRule="auto"/>
              <w:jc w:val="center"/>
            </w:pPr>
            <w:r>
              <w:rPr>
                <w:rFonts w:hint="eastAsia" w:ascii="Noto Sans CJK SC" w:hAnsi="Noto Sans CJK SC" w:eastAsia="Noto Sans CJK SC"/>
                <w:b w:val="1"/>
                <w:color w:val="FFFFFF"/>
                <w:sz w:val="17"/>
              </w:rPr>
              <w:t>核心状态</w:t>
            </w:r>
          </w:p>
        </w:tc>
      </w:tr>
      <w:tr>
        <w:trPr>
          <w:cantSplit w:val="1"/>
        </w:trPr>
        <w:tc>
          <w:tcPr>
            <w:tcW w:w="2160"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预约</w:t>
            </w:r>
          </w:p>
        </w:tc>
        <w:tc>
          <w:tcPr>
            <w:tcW w:w="7632" w:type="dxa"/>
            <w:tcMar>
              <w:top w:w="100" w:type="dxa"/>
              <w:left w:w="110" w:type="dxa"/>
              <w:bottom w:w="100" w:type="dxa"/>
              <w:right w:w="110" w:type="dxa"/>
            </w:tcMar>
            <w:vAlign w:val="center"/>
          </w:tcPr>
          <w:p>
            <w:pPr>
              <w:spacing w:after="0" w:line="259" w:lineRule="auto"/>
              <w:jc w:val="left"/>
            </w:pPr>
            <w:r>
              <w:rPr>
                <w:rFonts w:ascii="Noto Sans CJK SC" w:hAnsi="Noto Sans CJK SC" w:eastAsia="Noto Sans CJK SC"/>
                <w:b w:val="0"/>
                <w:color w:val="1F1F1F"/>
                <w:sz w:val="17"/>
              </w:rPr>
              <w:t>RESERVATION_CREATED → Drama</w:t>
            </w:r>
            <w:r>
              <w:rPr>
                <w:rFonts w:ascii="Noto Sans CJK SC" w:hAnsi="Noto Sans CJK SC" w:eastAsia="Noto Sans CJK SC"/>
                <w:b w:val="0"/>
                <w:color w:val="1F1F1F"/>
                <w:sz w:val="17"/>
              </w:rPr>
              <w:t>_FROZEN → WAITING_FOR_GRAB</w:t>
            </w:r>
          </w:p>
        </w:tc>
      </w:tr>
      <w:tr>
        <w:trPr>
          <w:cantSplit w:val="1"/>
        </w:trPr>
        <w:tc>
          <w:tcPr>
            <w:tcW w:w="2160"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抢购</w:t>
            </w:r>
          </w:p>
        </w:tc>
        <w:tc>
          <w:tcPr>
            <w:tcW w:w="7632" w:type="dxa"/>
            <w:tcMar>
              <w:top w:w="100" w:type="dxa"/>
              <w:left w:w="110" w:type="dxa"/>
              <w:bottom w:w="100" w:type="dxa"/>
              <w:right w:w="110" w:type="dxa"/>
            </w:tcMar>
            <w:vAlign w:val="center"/>
          </w:tcPr>
          <w:p>
            <w:pPr>
              <w:spacing w:after="0" w:line="259" w:lineRule="auto"/>
              <w:jc w:val="left"/>
            </w:pPr>
            <w:r>
              <w:rPr>
                <w:rFonts w:ascii="Noto Sans CJK SC" w:hAnsi="Noto Sans CJK SC" w:eastAsia="Noto Sans CJK SC"/>
                <w:b w:val="0"/>
                <w:color w:val="1F1F1F"/>
                <w:sz w:val="17"/>
              </w:rPr>
              <w:t>GRAB_SUCCESS / GRAB_FAILED</w:t>
            </w:r>
          </w:p>
        </w:tc>
      </w:tr>
      <w:tr>
        <w:trPr>
          <w:cantSplit w:val="1"/>
        </w:trPr>
        <w:tc>
          <w:tcPr>
            <w:tcW w:w="2160"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购买</w:t>
            </w:r>
          </w:p>
        </w:tc>
        <w:tc>
          <w:tcPr>
            <w:tcW w:w="7632" w:type="dxa"/>
            <w:tcMar>
              <w:top w:w="100" w:type="dxa"/>
              <w:left w:w="110" w:type="dxa"/>
              <w:bottom w:w="100" w:type="dxa"/>
              <w:right w:w="110" w:type="dxa"/>
            </w:tcMar>
            <w:vAlign w:val="center"/>
          </w:tcPr>
          <w:p>
            <w:pPr>
              <w:spacing w:after="0" w:line="259" w:lineRule="auto"/>
              <w:jc w:val="left"/>
            </w:pPr>
            <w:r>
              <w:rPr>
                <w:rFonts w:ascii="Noto Sans CJK SC" w:hAnsi="Noto Sans CJK SC" w:eastAsia="Noto Sans CJK SC"/>
                <w:b w:val="0"/>
                <w:color w:val="1F1F1F"/>
                <w:sz w:val="17"/>
              </w:rPr>
              <w:t>P2P_ORDER_CREATED → WAITING_PAYMENT → BUYER_PAID → WAITING_SELLER_RELEASE → RELEASED → COMPLETED</w:t>
            </w:r>
          </w:p>
        </w:tc>
      </w:tr>
      <w:tr>
        <w:trPr>
          <w:cantSplit w:val="1"/>
        </w:trPr>
        <w:tc>
          <w:tcPr>
            <w:tcW w:w="2160"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超时</w:t>
            </w:r>
          </w:p>
        </w:tc>
        <w:tc>
          <w:tcPr>
            <w:tcW w:w="7632" w:type="dxa"/>
            <w:tcMar>
              <w:top w:w="100" w:type="dxa"/>
              <w:left w:w="110" w:type="dxa"/>
              <w:bottom w:w="100" w:type="dxa"/>
              <w:right w:w="110" w:type="dxa"/>
            </w:tcMar>
            <w:vAlign w:val="center"/>
          </w:tcPr>
          <w:p>
            <w:pPr>
              <w:spacing w:after="0" w:line="259" w:lineRule="auto"/>
              <w:jc w:val="left"/>
            </w:pPr>
            <w:r>
              <w:rPr>
                <w:rFonts w:ascii="Noto Sans CJK SC" w:hAnsi="Noto Sans CJK SC" w:eastAsia="Noto Sans CJK SC"/>
                <w:b w:val="0"/>
                <w:color w:val="1F1F1F"/>
                <w:sz w:val="17"/>
              </w:rPr>
              <w:t>PAYMENT_TIMEOUT → ORDER_CANCELLED</w:t>
            </w:r>
          </w:p>
        </w:tc>
      </w:tr>
      <w:tr>
        <w:trPr>
          <w:cantSplit w:val="1"/>
        </w:trPr>
        <w:tc>
          <w:tcPr>
            <w:tcW w:w="2160"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持仓</w:t>
            </w:r>
          </w:p>
        </w:tc>
        <w:tc>
          <w:tcPr>
            <w:tcW w:w="7632" w:type="dxa"/>
            <w:tcMar>
              <w:top w:w="100" w:type="dxa"/>
              <w:left w:w="110" w:type="dxa"/>
              <w:bottom w:w="100" w:type="dxa"/>
              <w:right w:w="110" w:type="dxa"/>
            </w:tcMar>
            <w:vAlign w:val="center"/>
          </w:tcPr>
          <w:p>
            <w:pPr>
              <w:spacing w:after="0" w:line="259" w:lineRule="auto"/>
              <w:jc w:val="left"/>
            </w:pPr>
            <w:r>
              <w:rPr>
                <w:rFonts w:ascii="Noto Sans CJK SC" w:hAnsi="Noto Sans CJK SC" w:eastAsia="Noto Sans CJK SC"/>
                <w:b w:val="0"/>
                <w:color w:val="1F1F1F"/>
                <w:sz w:val="17"/>
              </w:rPr>
              <w:t>HOLDING → MATURED → READY_TO_LIST / Drama</w:t>
            </w:r>
            <w:r>
              <w:rPr>
                <w:rFonts w:ascii="Noto Sans CJK SC" w:hAnsi="Noto Sans CJK SC" w:eastAsia="Noto Sans CJK SC"/>
                <w:b w:val="0"/>
                <w:color w:val="1F1F1F"/>
                <w:sz w:val="17"/>
              </w:rPr>
              <w:t>_INSUFFICIENT</w:t>
            </w:r>
          </w:p>
        </w:tc>
      </w:tr>
      <w:tr>
        <w:trPr>
          <w:cantSplit w:val="1"/>
        </w:trPr>
        <w:tc>
          <w:tcPr>
            <w:tcW w:w="2160"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卖出</w:t>
            </w:r>
          </w:p>
        </w:tc>
        <w:tc>
          <w:tcPr>
            <w:tcW w:w="7632" w:type="dxa"/>
            <w:tcMar>
              <w:top w:w="100" w:type="dxa"/>
              <w:left w:w="110" w:type="dxa"/>
              <w:bottom w:w="100" w:type="dxa"/>
              <w:right w:w="110" w:type="dxa"/>
            </w:tcMar>
            <w:vAlign w:val="center"/>
          </w:tcPr>
          <w:p>
            <w:pPr>
              <w:spacing w:after="0" w:line="259" w:lineRule="auto"/>
              <w:jc w:val="left"/>
            </w:pPr>
            <w:r>
              <w:rPr>
                <w:rFonts w:ascii="Noto Sans CJK SC" w:hAnsi="Noto Sans CJK SC" w:eastAsia="Noto Sans CJK SC"/>
                <w:b w:val="0"/>
                <w:color w:val="1F1F1F"/>
                <w:sz w:val="17"/>
              </w:rPr>
              <w:t>LISTED → MATCHED → WAITING_PAYMENT → RELEASED → SOLD</w:t>
            </w:r>
          </w:p>
        </w:tc>
      </w:tr>
    </w:tbl>
    <w:p>
      <w:pPr>
        <w:spacing w:after="20"/>
      </w:pPr>
    </w:p>
    <w:p>
      <w:pPr>
        <w:pStyle w:val="00000a"/>
      </w:pPr>
      <w:r>
        <w:rPr>
          <w:rFonts w:hint="eastAsia" w:ascii="Noto Sans CJK SC" w:hAnsi="Noto Sans CJK SC" w:eastAsia="Noto Sans CJK SC"/>
          <w:b w:val="0"/>
          <w:sz w:val="21"/>
        </w:rPr>
        <w:t>12.1 建议的卖出结算顺序</w:t>
      </w:r>
    </w:p>
    <w:p>
      <w:pPr>
        <w:spacing w:after="80"/>
        <w:ind w:left="317" w:hanging="259"/>
      </w:pPr>
      <w:r>
        <w:rPr>
          <w:rFonts w:hint="eastAsia" w:ascii="Noto Sans CJK SC" w:hAnsi="Noto Sans CJK SC" w:eastAsia="Noto Sans CJK SC"/>
          <w:b w:val="0"/>
          <w:sz w:val="20"/>
        </w:rPr>
        <w:t>1. 校验订单状态、持有周期、买卖双方、规则版本和幂等键。</w:t>
      </w:r>
    </w:p>
    <w:p>
      <w:pPr>
        <w:spacing w:after="80"/>
        <w:ind w:left="317" w:hanging="259"/>
      </w:pPr>
      <w:r>
        <w:rPr>
          <w:rFonts w:hint="eastAsia" w:ascii="Noto Sans CJK SC" w:hAnsi="Noto Sans CJK SC" w:eastAsia="Noto Sans CJK SC"/>
          <w:b w:val="0"/>
          <w:sz w:val="20"/>
        </w:rPr>
        <w:t>2. 计算总增长金额。</w:t>
      </w:r>
    </w:p>
    <w:p>
      <w:pPr>
        <w:spacing w:after="80"/>
        <w:ind w:left="317" w:hanging="259"/>
      </w:pPr>
      <w:r>
        <w:rPr>
          <w:rFonts w:hint="eastAsia" w:ascii="Noto Sans CJK SC" w:hAnsi="Noto Sans CJK SC" w:eastAsia="Noto Sans CJK SC"/>
          <w:b w:val="0"/>
          <w:sz w:val="20"/>
        </w:rPr>
        <w:t>3. 计算70%平台手续费、15%现金收益、15%资产积分。</w:t>
      </w:r>
    </w:p>
    <w:p>
      <w:pPr>
        <w:spacing w:after="80"/>
        <w:ind w:left="317" w:hanging="259"/>
      </w:pPr>
      <w:r>
        <w:rPr>
          <w:rFonts w:hint="eastAsia" w:ascii="Noto Sans CJK SC" w:hAnsi="Noto Sans CJK SC" w:eastAsia="Noto Sans CJK SC"/>
          <w:b w:val="0"/>
          <w:sz w:val="20"/>
        </w:rPr>
        <w:t>4. 校验并扣除/占用卖出所需Drama</w:t>
      </w:r>
      <w:r>
        <w:rPr>
          <w:rFonts w:hint="eastAsia" w:ascii="Noto Sans CJK SC" w:hAnsi="Noto Sans CJK SC" w:eastAsia="Noto Sans CJK SC"/>
          <w:b w:val="0"/>
          <w:sz w:val="20"/>
        </w:rPr>
        <w:t>，生成Drama</w:t>
      </w:r>
      <w:r>
        <w:rPr>
          <w:rFonts w:hint="eastAsia" w:ascii="Noto Sans CJK SC" w:hAnsi="Noto Sans CJK SC" w:eastAsia="Noto Sans CJK SC"/>
          <w:b w:val="0"/>
          <w:sz w:val="20"/>
        </w:rPr>
        <w:t>和积分钱包分录。</w:t>
      </w:r>
    </w:p>
    <w:p>
      <w:pPr>
        <w:spacing w:after="80"/>
        <w:ind w:left="317" w:hanging="259"/>
      </w:pPr>
      <w:r>
        <w:rPr>
          <w:rFonts w:hint="eastAsia" w:ascii="Noto Sans CJK SC" w:hAnsi="Noto Sans CJK SC" w:eastAsia="Noto Sans CJK SC"/>
          <w:b w:val="0"/>
          <w:sz w:val="20"/>
        </w:rPr>
        <w:t>5. 确认P2P真实成交后转移短剧剧本交易权益并更新卖方结算结果。</w:t>
      </w:r>
    </w:p>
    <w:p>
      <w:pPr>
        <w:spacing w:after="80"/>
        <w:ind w:left="317" w:hanging="259"/>
      </w:pPr>
      <w:r>
        <w:rPr>
          <w:rFonts w:hint="eastAsia" w:ascii="Noto Sans CJK SC" w:hAnsi="Noto Sans CJK SC" w:eastAsia="Noto Sans CJK SC"/>
          <w:b w:val="0"/>
          <w:sz w:val="20"/>
        </w:rPr>
        <w:t>6. 从平台手续费中向上追溯代理关系，第1-3代按7%、第4-10代按2%生成佣金。</w:t>
      </w:r>
    </w:p>
    <w:p>
      <w:pPr>
        <w:spacing w:after="80"/>
        <w:ind w:left="317" w:hanging="259"/>
      </w:pPr>
      <w:r>
        <w:rPr>
          <w:rFonts w:hint="eastAsia" w:ascii="Noto Sans CJK SC" w:hAnsi="Noto Sans CJK SC" w:eastAsia="Noto Sans CJK SC"/>
          <w:b w:val="0"/>
          <w:sz w:val="20"/>
        </w:rPr>
        <w:t>7. 写入结算完成标记、规则快照、全部分录ID和审计记录。</w:t>
      </w:r>
    </w:p>
    <w:tbl>
      <w:tblPr>
        <w:tblW w:w="0" w:type="auto"/>
        <w:jc w:val="center"/>
        <w:tblLayout w:type="fixed"/>
        <w:tblLook w:firstRow="1" w:lastRow="0" w:firstColumn="1" w:lastColumn="0" w:noHBand="0" w:noVBand="1" w:val="04A0"/>
      </w:tblPr>
      <w:tblGrid>
        <w:gridCol w:w="10166"/>
      </w:tblGrid>
      <w:tr>
        <w:trPr>
          <w:cantSplit w:val="1"/>
        </w:trPr>
        <w:tc>
          <w:tcPr>
            <w:tcW w:w="10166" w:type="dxa"/>
            <w:tcBorders>
              <w:left w:val="single" w:color="2F75B5" w:sz="18"/>
            </w:tcBorders>
            <w:shd w:fill="EAF2F8"/>
            <w:tcMar>
              <w:top w:w="140" w:type="dxa"/>
              <w:left w:w="160" w:type="dxa"/>
              <w:bottom w:w="140" w:type="dxa"/>
              <w:right w:w="160" w:type="dxa"/>
            </w:tcMar>
          </w:tcPr>
          <w:p>
            <w:pPr>
              <w:keepNext w:val="1"/>
              <w:spacing w:after="80"/>
            </w:pPr>
            <w:r>
              <w:rPr>
                <w:rFonts w:hint="eastAsia" w:ascii="Noto Sans CJK SC" w:hAnsi="Noto Sans CJK SC" w:eastAsia="Noto Sans CJK SC"/>
                <w:b w:val="1"/>
                <w:color w:val="2F75B5"/>
                <w:sz w:val="21"/>
              </w:rPr>
              <w:t>账本原则</w:t>
            </w:r>
          </w:p>
          <w:p>
            <w:pPr>
              <w:spacing w:after="0" w:line="293" w:lineRule="auto"/>
            </w:pPr>
            <w:r>
              <w:rPr>
                <w:rFonts w:hint="eastAsia" w:ascii="Noto Sans CJK SC" w:hAnsi="Noto Sans CJK SC" w:eastAsia="Noto Sans CJK SC"/>
                <w:b w:val="0"/>
                <w:color w:val="1F1F1F"/>
                <w:sz w:val="19"/>
              </w:rPr>
              <w:t>余额必须由流水汇总得到，不能只修改余额。Drama</w:t>
            </w:r>
            <w:r>
              <w:rPr>
                <w:rFonts w:hint="eastAsia" w:ascii="Noto Sans CJK SC" w:hAnsi="Noto Sans CJK SC" w:eastAsia="Noto Sans CJK SC"/>
                <w:b w:val="0"/>
                <w:color w:val="1F1F1F"/>
                <w:sz w:val="19"/>
              </w:rPr>
              <w:t>、积分、GIP、代理佣金分别使用独立账本；所有结算必须幂等，同一订单和同一层代理佣金只能成功生成一次。</w:t>
            </w:r>
          </w:p>
        </w:tc>
      </w:tr>
    </w:tbl>
    <w:p>
      <w:pPr>
        <w:spacing w:after="20"/>
      </w:pPr>
    </w:p>
    <w:p>
      <w:pPr>
        <w:pStyle w:val="000008"/>
      </w:pPr>
      <w:r>
        <w:rPr>
          <w:rFonts w:hint="eastAsia" w:ascii="Noto Sans CJK SC" w:hAnsi="Noto Sans CJK SC" w:eastAsia="Noto Sans CJK SC"/>
          <w:b w:val="0"/>
          <w:sz w:val="21"/>
        </w:rPr>
        <w:t>13. 平台变现与盈利模式</w:t>
      </w:r>
    </w:p>
    <w:p>
      <w:pPr>
        <w:spacing w:after="120" w:line="307" w:lineRule="auto"/>
      </w:pPr>
      <w:r>
        <w:rPr>
          <w:rFonts w:hint="eastAsia" w:ascii="Noto Sans CJK SC" w:hAnsi="Noto Sans CJK SC" w:eastAsia="Noto Sans CJK SC"/>
          <w:b w:val="0"/>
          <w:sz w:val="21"/>
        </w:rPr>
        <w:t>当前经济模型的直接收入来源是交易过程中的平台手续费；长期可持续的商业模型还应增加短剧产业真实现金流和平台生态服务收入。</w:t>
      </w:r>
    </w:p>
    <w:tbl>
      <w:tblPr>
        <w:tblStyle w:val="000049"/>
        <w:tblW w:w="0" w:type="auto"/>
        <w:jc w:val="center"/>
        <w:tblLayout w:type="fixed"/>
        <w:tblLook w:firstRow="1" w:lastRow="0" w:firstColumn="1" w:lastColumn="0" w:noHBand="0" w:noVBand="1" w:val="04A0"/>
      </w:tblPr>
      <w:tblGrid>
        <w:gridCol w:w="3389"/>
        <w:gridCol w:w="3389"/>
        <w:gridCol w:w="3389"/>
      </w:tblGrid>
      <w:tr>
        <w:trPr>
          <w:cantSplit w:val="1"/>
          <w:tblHeader w:val="1"/>
        </w:trPr>
        <w:tc>
          <w:tcPr>
            <w:tcW w:w="2232" w:type="dxa"/>
            <w:shd w:fill="1F4E78"/>
            <w:tcMar>
              <w:top w:w="120" w:type="dxa"/>
              <w:left w:w="110" w:type="dxa"/>
              <w:bottom w:w="120" w:type="dxa"/>
              <w:right w:w="110" w:type="dxa"/>
            </w:tcMar>
            <w:vAlign w:val="center"/>
          </w:tcPr>
          <w:p>
            <w:pPr>
              <w:spacing w:after="0" w:line="252" w:lineRule="auto"/>
              <w:jc w:val="center"/>
            </w:pPr>
            <w:r>
              <w:rPr>
                <w:rFonts w:hint="eastAsia" w:ascii="Noto Sans CJK SC" w:hAnsi="Noto Sans CJK SC" w:eastAsia="Noto Sans CJK SC"/>
                <w:b w:val="1"/>
                <w:color w:val="FFFFFF"/>
                <w:sz w:val="17"/>
              </w:rPr>
              <w:t>收入层级</w:t>
            </w:r>
          </w:p>
        </w:tc>
        <w:tc>
          <w:tcPr>
            <w:tcW w:w="3384" w:type="dxa"/>
            <w:shd w:fill="1F4E78"/>
            <w:tcMar>
              <w:top w:w="120" w:type="dxa"/>
              <w:left w:w="110" w:type="dxa"/>
              <w:bottom w:w="120" w:type="dxa"/>
              <w:right w:w="110" w:type="dxa"/>
            </w:tcMar>
            <w:vAlign w:val="center"/>
          </w:tcPr>
          <w:p>
            <w:pPr>
              <w:spacing w:after="0" w:line="252" w:lineRule="auto"/>
              <w:jc w:val="center"/>
            </w:pPr>
            <w:r>
              <w:rPr>
                <w:rFonts w:hint="eastAsia" w:ascii="Noto Sans CJK SC" w:hAnsi="Noto Sans CJK SC" w:eastAsia="Noto Sans CJK SC"/>
                <w:b w:val="1"/>
                <w:color w:val="FFFFFF"/>
                <w:sz w:val="17"/>
              </w:rPr>
              <w:t>主要收入来源</w:t>
            </w:r>
          </w:p>
        </w:tc>
        <w:tc>
          <w:tcPr>
            <w:tcW w:w="4968" w:type="dxa"/>
            <w:shd w:fill="1F4E78"/>
            <w:tcMar>
              <w:top w:w="120" w:type="dxa"/>
              <w:left w:w="110" w:type="dxa"/>
              <w:bottom w:w="120" w:type="dxa"/>
              <w:right w:w="110" w:type="dxa"/>
            </w:tcMar>
            <w:vAlign w:val="center"/>
          </w:tcPr>
          <w:p>
            <w:pPr>
              <w:spacing w:after="0" w:line="252" w:lineRule="auto"/>
              <w:jc w:val="center"/>
            </w:pPr>
            <w:r>
              <w:rPr>
                <w:rFonts w:hint="eastAsia" w:ascii="Noto Sans CJK SC" w:hAnsi="Noto Sans CJK SC" w:eastAsia="Noto Sans CJK SC"/>
                <w:b w:val="1"/>
                <w:color w:val="FFFFFF"/>
                <w:sz w:val="17"/>
              </w:rPr>
              <w:t>说明</w:t>
            </w:r>
          </w:p>
        </w:tc>
      </w:tr>
      <w:tr>
        <w:trPr>
          <w:cantSplit w:val="1"/>
        </w:trPr>
        <w:tc>
          <w:tcPr>
            <w:tcW w:w="2232"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第一层：交易服务收入</w:t>
            </w:r>
          </w:p>
        </w:tc>
        <w:tc>
          <w:tcPr>
            <w:tcW w:w="3384"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平台手续费</w:t>
            </w:r>
          </w:p>
        </w:tc>
        <w:tc>
          <w:tcPr>
            <w:tcW w:w="4968" w:type="dxa"/>
            <w:tcMar>
              <w:top w:w="100" w:type="dxa"/>
              <w:left w:w="110" w:type="dxa"/>
              <w:bottom w:w="100" w:type="dxa"/>
              <w:right w:w="110" w:type="dxa"/>
            </w:tcMar>
            <w:vAlign w:val="center"/>
          </w:tcPr>
          <w:p>
            <w:pPr>
              <w:spacing w:after="0" w:line="259" w:lineRule="auto"/>
              <w:jc w:val="left"/>
            </w:pPr>
            <w:r>
              <w:rPr>
                <w:rFonts w:hint="eastAsia" w:ascii="Noto Sans CJK SC" w:hAnsi="Noto Sans CJK SC" w:eastAsia="Noto Sans CJK SC"/>
                <w:b w:val="0"/>
                <w:color w:val="1F1F1F"/>
                <w:sz w:val="17"/>
              </w:rPr>
              <w:t>普通区相当于交易本金1.4%，创新区相当于2.1%，再扣代理返佣等。</w:t>
            </w:r>
          </w:p>
        </w:tc>
      </w:tr>
      <w:tr>
        <w:trPr>
          <w:cantSplit w:val="1"/>
        </w:trPr>
        <w:tc>
          <w:tcPr>
            <w:tcW w:w="2232"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第二层：短剧产业收入</w:t>
            </w:r>
          </w:p>
        </w:tc>
        <w:tc>
          <w:tcPr>
            <w:tcW w:w="3384" w:type="dxa"/>
            <w:tcMar>
              <w:top w:w="100" w:type="dxa"/>
              <w:left w:w="110" w:type="dxa"/>
              <w:bottom w:w="100" w:type="dxa"/>
              <w:right w:w="110" w:type="dxa"/>
            </w:tcMar>
            <w:vAlign w:val="center"/>
          </w:tcPr>
          <w:p>
            <w:pPr>
              <w:spacing w:after="0" w:line="259" w:lineRule="auto"/>
              <w:jc w:val="left"/>
            </w:pPr>
            <w:r>
              <w:rPr>
                <w:rFonts w:hint="eastAsia" w:ascii="Noto Sans CJK SC" w:hAnsi="Noto Sans CJK SC" w:eastAsia="Noto Sans CJK SC"/>
                <w:b w:val="0"/>
                <w:color w:val="1F1F1F"/>
                <w:sz w:val="17"/>
              </w:rPr>
              <w:t>剧本授权、制作版权、播放分账、广告、IP授权、海外发行、版权转售</w:t>
            </w:r>
          </w:p>
        </w:tc>
        <w:tc>
          <w:tcPr>
            <w:tcW w:w="4968"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为交易标的提供外部价值锚和真实现金流。</w:t>
            </w:r>
          </w:p>
        </w:tc>
      </w:tr>
      <w:tr>
        <w:trPr>
          <w:cantSplit w:val="1"/>
        </w:trPr>
        <w:tc>
          <w:tcPr>
            <w:tcW w:w="2232"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第三层：生态收入</w:t>
            </w:r>
          </w:p>
        </w:tc>
        <w:tc>
          <w:tcPr>
            <w:tcW w:w="3384" w:type="dxa"/>
            <w:tcMar>
              <w:top w:w="100" w:type="dxa"/>
              <w:left w:w="110" w:type="dxa"/>
              <w:bottom w:w="100" w:type="dxa"/>
              <w:right w:w="110" w:type="dxa"/>
            </w:tcMar>
            <w:vAlign w:val="center"/>
          </w:tcPr>
          <w:p>
            <w:pPr>
              <w:spacing w:after="0" w:line="259" w:lineRule="auto"/>
              <w:jc w:val="left"/>
            </w:pPr>
            <w:r>
              <w:rPr>
                <w:rFonts w:hint="eastAsia" w:ascii="Noto Sans CJK SC" w:hAnsi="Noto Sans CJK SC" w:eastAsia="Noto Sans CJK SC"/>
                <w:b w:val="0"/>
                <w:color w:val="1F1F1F"/>
                <w:sz w:val="17"/>
              </w:rPr>
              <w:t>会员、创作者服务、制片方服务、数据服务、营销推广、IP孵化服务</w:t>
            </w:r>
          </w:p>
        </w:tc>
        <w:tc>
          <w:tcPr>
            <w:tcW w:w="4968"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降低平台对纯P2P交易手续费的依赖。</w:t>
            </w:r>
          </w:p>
        </w:tc>
      </w:tr>
    </w:tbl>
    <w:p>
      <w:pPr>
        <w:spacing w:after="20"/>
      </w:pPr>
    </w:p>
    <w:tbl>
      <w:tblPr>
        <w:tblW w:w="0" w:type="auto"/>
        <w:jc w:val="center"/>
        <w:tblLayout w:type="fixed"/>
        <w:tblLook w:firstRow="1" w:lastRow="0" w:firstColumn="1" w:lastColumn="0" w:noHBand="0" w:noVBand="1" w:val="04A0"/>
      </w:tblPr>
      <w:tblGrid>
        <w:gridCol w:w="5083"/>
        <w:gridCol w:w="5083"/>
      </w:tblGrid>
      <w:tr>
        <w:trPr>
          <w:cantSplit w:val="1"/>
        </w:trPr>
        <w:tc>
          <w:tcPr>
            <w:tcW w:w="2376" w:type="dxa"/>
            <w:shd w:fill="EAF2F8"/>
            <w:tcMar>
              <w:top w:w="110" w:type="dxa"/>
              <w:left w:w="120" w:type="dxa"/>
              <w:bottom w:w="110" w:type="dxa"/>
              <w:right w:w="120" w:type="dxa"/>
            </w:tcMar>
            <w:vAlign w:val="center"/>
          </w:tcPr>
          <w:p>
            <w:pPr>
              <w:jc w:val="center"/>
            </w:pPr>
            <w:r>
              <w:rPr>
                <w:rFonts w:hint="eastAsia" w:ascii="Noto Sans CJK SC" w:hAnsi="Noto Sans CJK SC" w:eastAsia="Noto Sans CJK SC"/>
                <w:b w:val="1"/>
                <w:color w:val="1F4E78"/>
                <w:sz w:val="19"/>
              </w:rPr>
              <w:t>平台手续费收入</w:t>
            </w:r>
          </w:p>
        </w:tc>
        <w:tc>
          <w:tcPr>
            <w:tcW w:w="7560" w:type="dxa"/>
            <w:tcMar>
              <w:top w:w="110" w:type="dxa"/>
              <w:left w:w="120" w:type="dxa"/>
              <w:bottom w:w="110" w:type="dxa"/>
              <w:right w:w="120" w:type="dxa"/>
            </w:tcMar>
            <w:vAlign w:val="center"/>
          </w:tcPr>
          <w:p>
            <w:r>
              <w:rPr>
                <w:rFonts w:hint="eastAsia" w:ascii="Noto Sans CJK SC" w:hAnsi="Noto Sans CJK SC" w:eastAsia="Noto Sans CJK SC"/>
                <w:b w:val="1"/>
                <w:color w:val="1F1F1F"/>
                <w:sz w:val="20"/>
              </w:rPr>
              <w:t>手续费 = GMV × 日增长率 × 70%</w:t>
            </w:r>
          </w:p>
        </w:tc>
      </w:tr>
    </w:tbl>
    <w:p>
      <w:pPr>
        <w:spacing w:after="20"/>
      </w:pPr>
    </w:p>
    <w:tbl>
      <w:tblPr>
        <w:tblW w:w="0" w:type="auto"/>
        <w:jc w:val="center"/>
        <w:tblLayout w:type="fixed"/>
        <w:tblLook w:firstRow="1" w:lastRow="0" w:firstColumn="1" w:lastColumn="0" w:noHBand="0" w:noVBand="1" w:val="04A0"/>
      </w:tblPr>
      <w:tblGrid>
        <w:gridCol w:w="5083"/>
        <w:gridCol w:w="5083"/>
      </w:tblGrid>
      <w:tr>
        <w:trPr>
          <w:cantSplit w:val="1"/>
        </w:trPr>
        <w:tc>
          <w:tcPr>
            <w:tcW w:w="2376" w:type="dxa"/>
            <w:shd w:fill="EAF2F8"/>
            <w:tcMar>
              <w:top w:w="110" w:type="dxa"/>
              <w:left w:w="120" w:type="dxa"/>
              <w:bottom w:w="110" w:type="dxa"/>
              <w:right w:w="120" w:type="dxa"/>
            </w:tcMar>
            <w:vAlign w:val="center"/>
          </w:tcPr>
          <w:p>
            <w:pPr>
              <w:jc w:val="center"/>
            </w:pPr>
            <w:r>
              <w:rPr>
                <w:rFonts w:hint="eastAsia" w:ascii="Noto Sans CJK SC" w:hAnsi="Noto Sans CJK SC" w:eastAsia="Noto Sans CJK SC"/>
                <w:b w:val="1"/>
                <w:color w:val="1F4E78"/>
                <w:sz w:val="19"/>
              </w:rPr>
              <w:t>满10代返佣</w:t>
            </w:r>
          </w:p>
        </w:tc>
        <w:tc>
          <w:tcPr>
            <w:tcW w:w="7560" w:type="dxa"/>
            <w:tcMar>
              <w:top w:w="110" w:type="dxa"/>
              <w:left w:w="120" w:type="dxa"/>
              <w:bottom w:w="110" w:type="dxa"/>
              <w:right w:w="120" w:type="dxa"/>
            </w:tcMar>
            <w:vAlign w:val="center"/>
          </w:tcPr>
          <w:p>
            <w:r>
              <w:rPr>
                <w:rFonts w:hint="eastAsia" w:ascii="Noto Sans CJK SC" w:hAnsi="Noto Sans CJK SC" w:eastAsia="Noto Sans CJK SC"/>
                <w:b w:val="1"/>
                <w:color w:val="1F1F1F"/>
                <w:sz w:val="20"/>
              </w:rPr>
              <w:t>代理佣金上限（假设10代全部有效） = 平台手续费 × 35%</w:t>
            </w:r>
          </w:p>
        </w:tc>
      </w:tr>
    </w:tbl>
    <w:p>
      <w:pPr>
        <w:spacing w:after="20"/>
      </w:pPr>
    </w:p>
    <w:tbl>
      <w:tblPr>
        <w:tblW w:w="0" w:type="auto"/>
        <w:jc w:val="center"/>
        <w:tblLayout w:type="fixed"/>
        <w:tblLook w:firstRow="1" w:lastRow="0" w:firstColumn="1" w:lastColumn="0" w:noHBand="0" w:noVBand="1" w:val="04A0"/>
      </w:tblPr>
      <w:tblGrid>
        <w:gridCol w:w="5083"/>
        <w:gridCol w:w="5083"/>
      </w:tblGrid>
      <w:tr>
        <w:trPr>
          <w:cantSplit w:val="1"/>
        </w:trPr>
        <w:tc>
          <w:tcPr>
            <w:tcW w:w="2376" w:type="dxa"/>
            <w:shd w:fill="EAF2F8"/>
            <w:tcMar>
              <w:top w:w="110" w:type="dxa"/>
              <w:left w:w="120" w:type="dxa"/>
              <w:bottom w:w="110" w:type="dxa"/>
              <w:right w:w="120" w:type="dxa"/>
            </w:tcMar>
            <w:vAlign w:val="center"/>
          </w:tcPr>
          <w:p>
            <w:pPr>
              <w:jc w:val="center"/>
            </w:pPr>
            <w:r>
              <w:rPr>
                <w:rFonts w:hint="eastAsia" w:ascii="Noto Sans CJK SC" w:hAnsi="Noto Sans CJK SC" w:eastAsia="Noto Sans CJK SC"/>
                <w:b w:val="1"/>
                <w:color w:val="1F4E78"/>
                <w:sz w:val="19"/>
              </w:rPr>
              <w:t>手续费理论留存</w:t>
            </w:r>
          </w:p>
        </w:tc>
        <w:tc>
          <w:tcPr>
            <w:tcW w:w="7560" w:type="dxa"/>
            <w:tcMar>
              <w:top w:w="110" w:type="dxa"/>
              <w:left w:w="120" w:type="dxa"/>
              <w:bottom w:w="110" w:type="dxa"/>
              <w:right w:w="120" w:type="dxa"/>
            </w:tcMar>
            <w:vAlign w:val="center"/>
          </w:tcPr>
          <w:p>
            <w:r>
              <w:rPr>
                <w:rFonts w:hint="eastAsia" w:ascii="Noto Sans CJK SC" w:hAnsi="Noto Sans CJK SC" w:eastAsia="Noto Sans CJK SC"/>
                <w:b w:val="1"/>
                <w:color w:val="1F1F1F"/>
                <w:sz w:val="20"/>
              </w:rPr>
              <w:t>手续费理论留存 = 平台手续费 × 65%</w:t>
            </w:r>
            <w:r>
              <w:rPr>
                <w:rFonts w:ascii="Noto Sans CJK SC" w:hAnsi="Noto Sans CJK SC" w:eastAsia="Noto Sans CJK SC"/>
                <w:b w:val="0"/>
                <w:color w:val="666666"/>
                <w:sz w:val="17"/>
              </w:rPr>
              <w:br w:type="textWrapping"/>
            </w:r>
            <w:r>
              <w:rPr>
                <w:rFonts w:hint="eastAsia" w:ascii="Noto Sans CJK SC" w:hAnsi="Noto Sans CJK SC" w:eastAsia="Noto Sans CJK SC"/>
                <w:b w:val="0"/>
                <w:color w:val="666666"/>
                <w:sz w:val="17"/>
              </w:rPr>
              <w:t>尚未扣除其他成本，不能直接视为净利润。</w:t>
            </w:r>
          </w:p>
        </w:tc>
      </w:tr>
    </w:tbl>
    <w:p>
      <w:pPr>
        <w:spacing w:after="20"/>
      </w:pPr>
    </w:p>
    <w:p>
      <w:pPr>
        <w:spacing w:after="120" w:line="307" w:lineRule="auto"/>
      </w:pPr>
      <w:r>
        <w:rPr>
          <w:rFonts w:hint="eastAsia" w:ascii="Noto Sans CJK SC" w:hAnsi="Noto Sans CJK SC" w:eastAsia="Noto Sans CJK SC"/>
          <w:b w:val="0"/>
          <w:sz w:val="21"/>
        </w:rPr>
        <w:t>因此，创新区的理论手续费留存率约为：3% × 70% × 65% = 1.365% × GMV；普通区约为：2% × 70% × 65% = 0.91% × GMV。</w:t>
      </w:r>
    </w:p>
    <w:tbl>
      <w:tblPr>
        <w:tblW w:w="0" w:type="auto"/>
        <w:jc w:val="center"/>
        <w:tblLayout w:type="fixed"/>
        <w:tblLook w:firstRow="1" w:lastRow="0" w:firstColumn="1" w:lastColumn="0" w:noHBand="0" w:noVBand="1" w:val="04A0"/>
      </w:tblPr>
      <w:tblGrid>
        <w:gridCol w:w="10166"/>
      </w:tblGrid>
      <w:tr>
        <w:trPr>
          <w:cantSplit w:val="1"/>
        </w:trPr>
        <w:tc>
          <w:tcPr>
            <w:tcW w:w="10166" w:type="dxa"/>
            <w:tcBorders>
              <w:left w:val="single" w:color="C55A11" w:sz="18"/>
            </w:tcBorders>
            <w:shd w:fill="FFF2CC"/>
            <w:tcMar>
              <w:top w:w="140" w:type="dxa"/>
              <w:left w:w="160" w:type="dxa"/>
              <w:bottom w:w="140" w:type="dxa"/>
              <w:right w:w="160" w:type="dxa"/>
            </w:tcMar>
          </w:tcPr>
          <w:p>
            <w:pPr>
              <w:keepNext w:val="1"/>
              <w:spacing w:after="80"/>
            </w:pPr>
            <w:r>
              <w:rPr>
                <w:rFonts w:hint="eastAsia" w:ascii="Noto Sans CJK SC" w:hAnsi="Noto Sans CJK SC" w:eastAsia="Noto Sans CJK SC"/>
                <w:b w:val="1"/>
                <w:color w:val="C55A11"/>
                <w:sz w:val="21"/>
              </w:rPr>
              <w:t>净利润口径</w:t>
            </w:r>
          </w:p>
          <w:p>
            <w:pPr>
              <w:spacing w:after="0" w:line="293" w:lineRule="auto"/>
            </w:pPr>
            <w:r>
              <w:rPr>
                <w:rFonts w:hint="eastAsia" w:ascii="Noto Sans CJK SC" w:hAnsi="Noto Sans CJK SC" w:eastAsia="Noto Sans CJK SC"/>
                <w:b w:val="0"/>
                <w:color w:val="1F1F1F"/>
                <w:sz w:val="19"/>
              </w:rPr>
              <w:t>平台净利润 = 手续费收入 − 代理佣金 − 积分兑现成本 − GIP成本 − 剧本/IP成本 − 支付成本 − 获客成本 − 客服/风控/技术成本 − 税费 − 风险准备。当前资料尚不足以给出真实净利润率。</w:t>
            </w:r>
          </w:p>
        </w:tc>
      </w:tr>
    </w:tbl>
    <w:p>
      <w:pPr>
        <w:spacing w:after="20"/>
      </w:pPr>
    </w:p>
    <w:p>
      <w:pPr>
        <w:pStyle w:val="000008"/>
      </w:pPr>
      <w:r>
        <w:rPr>
          <w:rFonts w:hint="eastAsia" w:ascii="Noto Sans CJK SC" w:hAnsi="Noto Sans CJK SC" w:eastAsia="Noto Sans CJK SC"/>
          <w:b w:val="0"/>
          <w:sz w:val="21"/>
        </w:rPr>
        <w:t>14. 用户资金回收与收益回本周期</w:t>
      </w:r>
    </w:p>
    <w:p>
      <w:pPr>
        <w:spacing w:after="120" w:line="307" w:lineRule="auto"/>
      </w:pPr>
      <w:r>
        <w:rPr>
          <w:rFonts w:hint="eastAsia" w:ascii="Noto Sans CJK SC" w:hAnsi="Noto Sans CJK SC" w:eastAsia="Noto Sans CJK SC"/>
          <w:b w:val="0"/>
          <w:sz w:val="21"/>
        </w:rPr>
        <w:t>“回本周期”必须区分两个概念，否则容易造成严重误读。</w:t>
      </w:r>
    </w:p>
    <w:tbl>
      <w:tblPr>
        <w:tblStyle w:val="000049"/>
        <w:tblW w:w="0" w:type="auto"/>
        <w:jc w:val="center"/>
        <w:tblLayout w:type="fixed"/>
        <w:tblLook w:firstRow="1" w:lastRow="0" w:firstColumn="1" w:lastColumn="0" w:noHBand="0" w:noVBand="1" w:val="04A0"/>
      </w:tblPr>
      <w:tblGrid>
        <w:gridCol w:w="3389"/>
        <w:gridCol w:w="3389"/>
        <w:gridCol w:w="3389"/>
      </w:tblGrid>
      <w:tr>
        <w:trPr>
          <w:cantSplit w:val="1"/>
          <w:tblHeader w:val="1"/>
        </w:trPr>
        <w:tc>
          <w:tcPr>
            <w:tcW w:w="2232" w:type="dxa"/>
            <w:shd w:fill="1F4E78"/>
            <w:tcMar>
              <w:top w:w="120" w:type="dxa"/>
              <w:left w:w="110" w:type="dxa"/>
              <w:bottom w:w="120" w:type="dxa"/>
              <w:right w:w="110" w:type="dxa"/>
            </w:tcMar>
            <w:vAlign w:val="center"/>
          </w:tcPr>
          <w:p>
            <w:pPr>
              <w:spacing w:after="0" w:line="252" w:lineRule="auto"/>
              <w:jc w:val="center"/>
            </w:pPr>
            <w:r>
              <w:rPr>
                <w:rFonts w:hint="eastAsia" w:ascii="Noto Sans CJK SC" w:hAnsi="Noto Sans CJK SC" w:eastAsia="Noto Sans CJK SC"/>
                <w:b w:val="1"/>
                <w:color w:val="FFFFFF"/>
                <w:sz w:val="17"/>
              </w:rPr>
              <w:t>口径</w:t>
            </w:r>
          </w:p>
        </w:tc>
        <w:tc>
          <w:tcPr>
            <w:tcW w:w="3456" w:type="dxa"/>
            <w:shd w:fill="1F4E78"/>
            <w:tcMar>
              <w:top w:w="120" w:type="dxa"/>
              <w:left w:w="110" w:type="dxa"/>
              <w:bottom w:w="120" w:type="dxa"/>
              <w:right w:w="110" w:type="dxa"/>
            </w:tcMar>
            <w:vAlign w:val="center"/>
          </w:tcPr>
          <w:p>
            <w:pPr>
              <w:spacing w:after="0" w:line="252" w:lineRule="auto"/>
              <w:jc w:val="center"/>
            </w:pPr>
            <w:r>
              <w:rPr>
                <w:rFonts w:hint="eastAsia" w:ascii="Noto Sans CJK SC" w:hAnsi="Noto Sans CJK SC" w:eastAsia="Noto Sans CJK SC"/>
                <w:b w:val="1"/>
                <w:color w:val="FFFFFF"/>
                <w:sz w:val="17"/>
              </w:rPr>
              <w:t>定义</w:t>
            </w:r>
          </w:p>
        </w:tc>
        <w:tc>
          <w:tcPr>
            <w:tcW w:w="4896" w:type="dxa"/>
            <w:shd w:fill="1F4E78"/>
            <w:tcMar>
              <w:top w:w="120" w:type="dxa"/>
              <w:left w:w="110" w:type="dxa"/>
              <w:bottom w:w="120" w:type="dxa"/>
              <w:right w:w="110" w:type="dxa"/>
            </w:tcMar>
            <w:vAlign w:val="center"/>
          </w:tcPr>
          <w:p>
            <w:pPr>
              <w:spacing w:after="0" w:line="252" w:lineRule="auto"/>
              <w:jc w:val="center"/>
            </w:pPr>
            <w:r>
              <w:rPr>
                <w:rFonts w:hint="eastAsia" w:ascii="Noto Sans CJK SC" w:hAnsi="Noto Sans CJK SC" w:eastAsia="Noto Sans CJK SC"/>
                <w:b w:val="1"/>
                <w:color w:val="FFFFFF"/>
                <w:sz w:val="17"/>
              </w:rPr>
              <w:t>当前模型下的理解</w:t>
            </w:r>
          </w:p>
        </w:tc>
      </w:tr>
      <w:tr>
        <w:trPr>
          <w:cantSplit w:val="1"/>
        </w:trPr>
        <w:tc>
          <w:tcPr>
            <w:tcW w:w="2232"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本金资金回收周期</w:t>
            </w:r>
          </w:p>
        </w:tc>
        <w:tc>
          <w:tcPr>
            <w:tcW w:w="3456" w:type="dxa"/>
            <w:tcMar>
              <w:top w:w="100" w:type="dxa"/>
              <w:left w:w="110" w:type="dxa"/>
              <w:bottom w:w="100" w:type="dxa"/>
              <w:right w:w="110" w:type="dxa"/>
            </w:tcMar>
            <w:vAlign w:val="center"/>
          </w:tcPr>
          <w:p>
            <w:pPr>
              <w:spacing w:after="0" w:line="259" w:lineRule="auto"/>
              <w:jc w:val="left"/>
            </w:pPr>
            <w:r>
              <w:rPr>
                <w:rFonts w:hint="eastAsia" w:ascii="Noto Sans CJK SC" w:hAnsi="Noto Sans CJK SC" w:eastAsia="Noto Sans CJK SC"/>
                <w:b w:val="0"/>
                <w:color w:val="1F1F1F"/>
                <w:sz w:val="17"/>
              </w:rPr>
              <w:t>用户投入本金何时通过下一笔真实P2P卖出回到手中</w:t>
            </w:r>
          </w:p>
        </w:tc>
        <w:tc>
          <w:tcPr>
            <w:tcW w:w="4896" w:type="dxa"/>
            <w:tcMar>
              <w:top w:w="100" w:type="dxa"/>
              <w:left w:w="110" w:type="dxa"/>
              <w:bottom w:w="100" w:type="dxa"/>
              <w:right w:w="110" w:type="dxa"/>
            </w:tcMar>
            <w:vAlign w:val="center"/>
          </w:tcPr>
          <w:p>
            <w:pPr>
              <w:spacing w:after="0" w:line="259" w:lineRule="auto"/>
              <w:jc w:val="left"/>
            </w:pPr>
            <w:r>
              <w:rPr>
                <w:rFonts w:hint="eastAsia" w:ascii="Noto Sans CJK SC" w:hAnsi="Noto Sans CJK SC" w:eastAsia="Noto Sans CJK SC"/>
                <w:b w:val="0"/>
                <w:color w:val="1F1F1F"/>
                <w:sz w:val="17"/>
              </w:rPr>
              <w:t>1日产品至少为持有1天 + 匹配/付款/放行时间；7日产品至少为7天 + 成交时间。若没有买家，则无法确定。</w:t>
            </w:r>
          </w:p>
        </w:tc>
      </w:tr>
      <w:tr>
        <w:trPr>
          <w:cantSplit w:val="1"/>
        </w:trPr>
        <w:tc>
          <w:tcPr>
            <w:tcW w:w="2232"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收益回本周期</w:t>
            </w:r>
          </w:p>
        </w:tc>
        <w:tc>
          <w:tcPr>
            <w:tcW w:w="3456"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累计净收益价值达到最初本金所需时间</w:t>
            </w:r>
          </w:p>
        </w:tc>
        <w:tc>
          <w:tcPr>
            <w:tcW w:w="4896" w:type="dxa"/>
            <w:tcMar>
              <w:top w:w="100" w:type="dxa"/>
              <w:left w:w="110" w:type="dxa"/>
              <w:bottom w:w="100" w:type="dxa"/>
              <w:right w:w="110" w:type="dxa"/>
            </w:tcMar>
            <w:vAlign w:val="center"/>
          </w:tcPr>
          <w:p>
            <w:pPr>
              <w:spacing w:after="0" w:line="259" w:lineRule="auto"/>
              <w:jc w:val="left"/>
            </w:pPr>
            <w:r>
              <w:rPr>
                <w:rFonts w:hint="eastAsia" w:ascii="Noto Sans CJK SC" w:hAnsi="Noto Sans CJK SC" w:eastAsia="Noto Sans CJK SC"/>
                <w:b w:val="0"/>
                <w:color w:val="1F1F1F"/>
                <w:sz w:val="17"/>
              </w:rPr>
              <w:t>属于理论收益测算，不代表本金被锁到这个时间，也不构成保证。</w:t>
            </w:r>
          </w:p>
        </w:tc>
      </w:tr>
    </w:tbl>
    <w:p>
      <w:pPr>
        <w:spacing w:after="20"/>
      </w:pPr>
    </w:p>
    <w:tbl>
      <w:tblPr>
        <w:tblStyle w:val="000049"/>
        <w:tblW w:w="0" w:type="auto"/>
        <w:jc w:val="center"/>
        <w:tblLayout w:type="fixed"/>
        <w:tblLook w:firstRow="1" w:lastRow="0" w:firstColumn="1" w:lastColumn="0" w:noHBand="0" w:noVBand="1" w:val="04A0"/>
      </w:tblPr>
      <w:tblGrid>
        <w:gridCol w:w="2033"/>
        <w:gridCol w:w="2033"/>
        <w:gridCol w:w="2033"/>
        <w:gridCol w:w="2033"/>
        <w:gridCol w:w="2033"/>
      </w:tblGrid>
      <w:tr>
        <w:trPr>
          <w:cantSplit w:val="1"/>
          <w:tblHeader w:val="1"/>
        </w:trPr>
        <w:tc>
          <w:tcPr>
            <w:tcW w:w="1584" w:type="dxa"/>
            <w:shd w:fill="1F4E78"/>
            <w:tcMar>
              <w:top w:w="120" w:type="dxa"/>
              <w:left w:w="110" w:type="dxa"/>
              <w:bottom w:w="120" w:type="dxa"/>
              <w:right w:w="110" w:type="dxa"/>
            </w:tcMar>
            <w:vAlign w:val="center"/>
          </w:tcPr>
          <w:p>
            <w:pPr>
              <w:spacing w:after="0" w:line="252" w:lineRule="auto"/>
              <w:jc w:val="center"/>
            </w:pPr>
            <w:r>
              <w:rPr>
                <w:rFonts w:hint="eastAsia" w:ascii="Noto Sans CJK SC" w:hAnsi="Noto Sans CJK SC" w:eastAsia="Noto Sans CJK SC"/>
                <w:b w:val="1"/>
                <w:color w:val="FFFFFF"/>
                <w:sz w:val="17"/>
              </w:rPr>
              <w:t>专区</w:t>
            </w:r>
          </w:p>
        </w:tc>
        <w:tc>
          <w:tcPr>
            <w:tcW w:w="2088" w:type="dxa"/>
            <w:shd w:fill="1F4E78"/>
            <w:tcMar>
              <w:top w:w="120" w:type="dxa"/>
              <w:left w:w="110" w:type="dxa"/>
              <w:bottom w:w="120" w:type="dxa"/>
              <w:right w:w="110" w:type="dxa"/>
            </w:tcMar>
            <w:vAlign w:val="center"/>
          </w:tcPr>
          <w:p>
            <w:pPr>
              <w:spacing w:after="0" w:line="252" w:lineRule="auto"/>
              <w:jc w:val="center"/>
            </w:pPr>
            <w:r>
              <w:rPr>
                <w:rFonts w:hint="eastAsia" w:ascii="Noto Sans CJK SC" w:hAnsi="Noto Sans CJK SC" w:eastAsia="Noto Sans CJK SC"/>
                <w:b w:val="1"/>
                <w:color w:val="FFFFFF"/>
                <w:sz w:val="17"/>
              </w:rPr>
              <w:t>仅现金收益率/日</w:t>
            </w:r>
          </w:p>
        </w:tc>
        <w:tc>
          <w:tcPr>
            <w:tcW w:w="2376" w:type="dxa"/>
            <w:shd w:fill="1F4E78"/>
            <w:tcMar>
              <w:top w:w="120" w:type="dxa"/>
              <w:left w:w="110" w:type="dxa"/>
              <w:bottom w:w="120" w:type="dxa"/>
              <w:right w:w="110" w:type="dxa"/>
            </w:tcMar>
            <w:vAlign w:val="center"/>
          </w:tcPr>
          <w:p>
            <w:pPr>
              <w:spacing w:after="0" w:line="252" w:lineRule="auto"/>
              <w:jc w:val="center"/>
            </w:pPr>
            <w:r>
              <w:rPr>
                <w:rFonts w:hint="eastAsia" w:ascii="Noto Sans CJK SC" w:hAnsi="Noto Sans CJK SC" w:eastAsia="Noto Sans CJK SC"/>
                <w:b w:val="1"/>
                <w:color w:val="FFFFFF"/>
                <w:sz w:val="17"/>
              </w:rPr>
              <w:t>仅现金理论收益回本</w:t>
            </w:r>
          </w:p>
        </w:tc>
        <w:tc>
          <w:tcPr>
            <w:tcW w:w="2376" w:type="dxa"/>
            <w:shd w:fill="1F4E78"/>
            <w:tcMar>
              <w:top w:w="120" w:type="dxa"/>
              <w:left w:w="110" w:type="dxa"/>
              <w:bottom w:w="120" w:type="dxa"/>
              <w:right w:w="110" w:type="dxa"/>
            </w:tcMar>
            <w:vAlign w:val="center"/>
          </w:tcPr>
          <w:p>
            <w:pPr>
              <w:spacing w:after="0" w:line="252" w:lineRule="auto"/>
              <w:jc w:val="center"/>
            </w:pPr>
            <w:r>
              <w:rPr>
                <w:rFonts w:hint="eastAsia" w:ascii="Noto Sans CJK SC" w:hAnsi="Noto Sans CJK SC" w:eastAsia="Noto Sans CJK SC"/>
                <w:b w:val="1"/>
                <w:color w:val="FFFFFF"/>
                <w:sz w:val="17"/>
              </w:rPr>
              <w:t>现金+积分综合价值/日</w:t>
            </w:r>
          </w:p>
        </w:tc>
        <w:tc>
          <w:tcPr>
            <w:tcW w:w="2088" w:type="dxa"/>
            <w:shd w:fill="1F4E78"/>
            <w:tcMar>
              <w:top w:w="120" w:type="dxa"/>
              <w:left w:w="110" w:type="dxa"/>
              <w:bottom w:w="120" w:type="dxa"/>
              <w:right w:w="110" w:type="dxa"/>
            </w:tcMar>
            <w:vAlign w:val="center"/>
          </w:tcPr>
          <w:p>
            <w:pPr>
              <w:spacing w:after="0" w:line="252" w:lineRule="auto"/>
              <w:jc w:val="center"/>
            </w:pPr>
            <w:r>
              <w:rPr>
                <w:rFonts w:hint="eastAsia" w:ascii="Noto Sans CJK SC" w:hAnsi="Noto Sans CJK SC" w:eastAsia="Noto Sans CJK SC"/>
                <w:b w:val="1"/>
                <w:color w:val="FFFFFF"/>
                <w:sz w:val="17"/>
              </w:rPr>
              <w:t>含积分理论回本*</w:t>
            </w:r>
          </w:p>
        </w:tc>
      </w:tr>
      <w:tr>
        <w:trPr>
          <w:cantSplit w:val="1"/>
        </w:trPr>
        <w:tc>
          <w:tcPr>
            <w:tcW w:w="1584"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普通区</w:t>
            </w:r>
          </w:p>
        </w:tc>
        <w:tc>
          <w:tcPr>
            <w:tcW w:w="2088"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7"/>
              </w:rPr>
              <w:t>0.30%</w:t>
            </w:r>
          </w:p>
        </w:tc>
        <w:tc>
          <w:tcPr>
            <w:tcW w:w="2376"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约334个有效收益日</w:t>
            </w:r>
          </w:p>
        </w:tc>
        <w:tc>
          <w:tcPr>
            <w:tcW w:w="2376"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7"/>
              </w:rPr>
              <w:t>0.60%</w:t>
            </w:r>
          </w:p>
        </w:tc>
        <w:tc>
          <w:tcPr>
            <w:tcW w:w="2088"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约167个有效收益日</w:t>
            </w:r>
          </w:p>
        </w:tc>
      </w:tr>
      <w:tr>
        <w:trPr>
          <w:cantSplit w:val="1"/>
        </w:trPr>
        <w:tc>
          <w:tcPr>
            <w:tcW w:w="1584"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创新区</w:t>
            </w:r>
          </w:p>
        </w:tc>
        <w:tc>
          <w:tcPr>
            <w:tcW w:w="2088"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7"/>
              </w:rPr>
              <w:t>0.45%</w:t>
            </w:r>
          </w:p>
        </w:tc>
        <w:tc>
          <w:tcPr>
            <w:tcW w:w="2376"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约223个有效收益日</w:t>
            </w:r>
          </w:p>
        </w:tc>
        <w:tc>
          <w:tcPr>
            <w:tcW w:w="2376"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7"/>
              </w:rPr>
              <w:t>0.90%</w:t>
            </w:r>
          </w:p>
        </w:tc>
        <w:tc>
          <w:tcPr>
            <w:tcW w:w="2088"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约112个有效收益日</w:t>
            </w:r>
          </w:p>
        </w:tc>
      </w:tr>
    </w:tbl>
    <w:p>
      <w:pPr>
        <w:spacing w:after="20"/>
      </w:pPr>
    </w:p>
    <w:p>
      <w:pPr>
        <w:spacing w:after="120" w:line="307" w:lineRule="auto"/>
      </w:pPr>
      <w:r>
        <w:rPr>
          <w:rFonts w:hint="eastAsia" w:ascii="Noto Sans CJK SC" w:hAnsi="Noto Sans CJK SC" w:eastAsia="Noto Sans CJK SC"/>
          <w:b w:val="0"/>
          <w:sz w:val="21"/>
        </w:rPr>
        <w:t>*“含积分理论回本”只有在资产积分能够稳定、足额、按预期价值兑换时才成立；若积分无法兑现或折价，不能把0.60%/0.90%全部作为实际收益。</w:t>
      </w:r>
    </w:p>
    <w:tbl>
      <w:tblPr>
        <w:tblW w:w="0" w:type="auto"/>
        <w:jc w:val="center"/>
        <w:tblLayout w:type="fixed"/>
        <w:tblLook w:firstRow="1" w:lastRow="0" w:firstColumn="1" w:lastColumn="0" w:noHBand="0" w:noVBand="1" w:val="04A0"/>
      </w:tblPr>
      <w:tblGrid>
        <w:gridCol w:w="10166"/>
      </w:tblGrid>
      <w:tr>
        <w:trPr>
          <w:cantSplit w:val="1"/>
        </w:trPr>
        <w:tc>
          <w:tcPr>
            <w:tcW w:w="10166" w:type="dxa"/>
            <w:tcBorders>
              <w:left w:val="single" w:color="C55A11" w:sz="18"/>
            </w:tcBorders>
            <w:shd w:fill="FFF2CC"/>
            <w:tcMar>
              <w:top w:w="140" w:type="dxa"/>
              <w:left w:w="160" w:type="dxa"/>
              <w:bottom w:w="140" w:type="dxa"/>
              <w:right w:w="160" w:type="dxa"/>
            </w:tcMar>
          </w:tcPr>
          <w:p>
            <w:pPr>
              <w:keepNext w:val="1"/>
              <w:spacing w:after="80"/>
            </w:pPr>
            <w:r>
              <w:rPr>
                <w:rFonts w:hint="eastAsia" w:ascii="Noto Sans CJK SC" w:hAnsi="Noto Sans CJK SC" w:eastAsia="Noto Sans CJK SC"/>
                <w:b w:val="1"/>
                <w:color w:val="C55A11"/>
                <w:sz w:val="21"/>
              </w:rPr>
              <w:t>不能写成“112天保证回本”</w:t>
            </w:r>
          </w:p>
          <w:p>
            <w:pPr>
              <w:spacing w:after="0" w:line="293" w:lineRule="auto"/>
            </w:pPr>
            <w:r>
              <w:rPr>
                <w:rFonts w:hint="eastAsia" w:ascii="Noto Sans CJK SC" w:hAnsi="Noto Sans CJK SC" w:eastAsia="Noto Sans CJK SC"/>
                <w:b w:val="0"/>
                <w:color w:val="1F1F1F"/>
                <w:sz w:val="19"/>
              </w:rPr>
              <w:t>以上周期是静态数学测算，前提包括每天都能完成真实交易、没有空档期、没有流动性不足、规则不变、积分具备实际兑现价值且未计额外成本。对外材料不应将其表述为固定或保证收益。</w:t>
            </w:r>
          </w:p>
        </w:tc>
      </w:tr>
    </w:tbl>
    <w:p>
      <w:pPr>
        <w:spacing w:after="20"/>
      </w:pPr>
    </w:p>
    <w:p>
      <w:pPr>
        <w:pStyle w:val="000008"/>
      </w:pPr>
      <w:r>
        <w:rPr>
          <w:rFonts w:hint="eastAsia" w:ascii="Noto Sans CJK SC" w:hAnsi="Noto Sans CJK SC" w:eastAsia="Noto Sans CJK SC"/>
          <w:b w:val="0"/>
          <w:sz w:val="21"/>
        </w:rPr>
        <w:t>15. 平台盈利测算与GMV情景</w:t>
      </w:r>
    </w:p>
    <w:p>
      <w:pPr>
        <w:spacing w:after="120" w:line="307" w:lineRule="auto"/>
      </w:pPr>
      <w:r>
        <w:rPr>
          <w:rFonts w:hint="eastAsia" w:ascii="Noto Sans CJK SC" w:hAnsi="Noto Sans CJK SC" w:eastAsia="Noto Sans CJK SC"/>
          <w:b w:val="0"/>
          <w:sz w:val="21"/>
        </w:rPr>
        <w:t>以下仅测算创新区3%场景下的“手续费 → 满10代返佣 → 手续费理论留存”，不包含其他成本。</w:t>
      </w:r>
    </w:p>
    <w:tbl>
      <w:tblPr>
        <w:tblStyle w:val="000049"/>
        <w:tblW w:w="0" w:type="auto"/>
        <w:jc w:val="center"/>
        <w:tblLayout w:type="fixed"/>
        <w:tblLook w:firstRow="1" w:lastRow="0" w:firstColumn="1" w:lastColumn="0" w:noHBand="0" w:noVBand="1" w:val="04A0"/>
      </w:tblPr>
      <w:tblGrid>
        <w:gridCol w:w="2033"/>
        <w:gridCol w:w="2033"/>
        <w:gridCol w:w="2033"/>
        <w:gridCol w:w="2033"/>
        <w:gridCol w:w="2033"/>
      </w:tblGrid>
      <w:tr>
        <w:trPr>
          <w:cantSplit w:val="1"/>
          <w:tblHeader w:val="1"/>
        </w:trPr>
        <w:tc>
          <w:tcPr>
            <w:tcW w:w="1800" w:type="dxa"/>
            <w:shd w:fill="1F4E78"/>
            <w:tcMar>
              <w:top w:w="120" w:type="dxa"/>
              <w:left w:w="110" w:type="dxa"/>
              <w:bottom w:w="120" w:type="dxa"/>
              <w:right w:w="110" w:type="dxa"/>
            </w:tcMar>
            <w:vAlign w:val="center"/>
          </w:tcPr>
          <w:p>
            <w:pPr>
              <w:spacing w:after="0" w:line="252" w:lineRule="auto"/>
              <w:jc w:val="center"/>
            </w:pPr>
            <w:r>
              <w:rPr>
                <w:rFonts w:hint="eastAsia" w:ascii="Noto Sans CJK SC" w:hAnsi="Noto Sans CJK SC" w:eastAsia="Noto Sans CJK SC"/>
                <w:b w:val="1"/>
                <w:color w:val="FFFFFF"/>
                <w:sz w:val="17"/>
              </w:rPr>
              <w:t>日GMV</w:t>
            </w:r>
          </w:p>
        </w:tc>
        <w:tc>
          <w:tcPr>
            <w:tcW w:w="2232" w:type="dxa"/>
            <w:shd w:fill="1F4E78"/>
            <w:tcMar>
              <w:top w:w="120" w:type="dxa"/>
              <w:left w:w="110" w:type="dxa"/>
              <w:bottom w:w="120" w:type="dxa"/>
              <w:right w:w="110" w:type="dxa"/>
            </w:tcMar>
            <w:vAlign w:val="center"/>
          </w:tcPr>
          <w:p>
            <w:pPr>
              <w:spacing w:after="0" w:line="252" w:lineRule="auto"/>
              <w:jc w:val="center"/>
            </w:pPr>
            <w:r>
              <w:rPr>
                <w:rFonts w:hint="eastAsia" w:ascii="Noto Sans CJK SC" w:hAnsi="Noto Sans CJK SC" w:eastAsia="Noto Sans CJK SC"/>
                <w:b w:val="1"/>
                <w:color w:val="FFFFFF"/>
                <w:sz w:val="17"/>
              </w:rPr>
              <w:t>平台手续费(2.1%)</w:t>
            </w:r>
          </w:p>
        </w:tc>
        <w:tc>
          <w:tcPr>
            <w:tcW w:w="2520" w:type="dxa"/>
            <w:shd w:fill="1F4E78"/>
            <w:tcMar>
              <w:top w:w="120" w:type="dxa"/>
              <w:left w:w="110" w:type="dxa"/>
              <w:bottom w:w="120" w:type="dxa"/>
              <w:right w:w="110" w:type="dxa"/>
            </w:tcMar>
            <w:vAlign w:val="center"/>
          </w:tcPr>
          <w:p>
            <w:pPr>
              <w:spacing w:after="0" w:line="252" w:lineRule="auto"/>
              <w:jc w:val="center"/>
            </w:pPr>
            <w:r>
              <w:rPr>
                <w:rFonts w:hint="eastAsia" w:ascii="Noto Sans CJK SC" w:hAnsi="Noto Sans CJK SC" w:eastAsia="Noto Sans CJK SC"/>
                <w:b w:val="1"/>
                <w:color w:val="FFFFFF"/>
                <w:sz w:val="17"/>
              </w:rPr>
              <w:t>满10代返佣(手续费35%)</w:t>
            </w:r>
          </w:p>
        </w:tc>
        <w:tc>
          <w:tcPr>
            <w:tcW w:w="2520" w:type="dxa"/>
            <w:shd w:fill="1F4E78"/>
            <w:tcMar>
              <w:top w:w="120" w:type="dxa"/>
              <w:left w:w="110" w:type="dxa"/>
              <w:bottom w:w="120" w:type="dxa"/>
              <w:right w:w="110" w:type="dxa"/>
            </w:tcMar>
            <w:vAlign w:val="center"/>
          </w:tcPr>
          <w:p>
            <w:pPr>
              <w:spacing w:after="0" w:line="252" w:lineRule="auto"/>
              <w:jc w:val="center"/>
            </w:pPr>
            <w:r>
              <w:rPr>
                <w:rFonts w:hint="eastAsia" w:ascii="Noto Sans CJK SC" w:hAnsi="Noto Sans CJK SC" w:eastAsia="Noto Sans CJK SC"/>
                <w:b w:val="1"/>
                <w:color w:val="FFFFFF"/>
                <w:sz w:val="17"/>
              </w:rPr>
              <w:t>手续费理论留存(1.365%)</w:t>
            </w:r>
          </w:p>
        </w:tc>
        <w:tc>
          <w:tcPr>
            <w:tcW w:w="2160" w:type="dxa"/>
            <w:shd w:fill="1F4E78"/>
            <w:tcMar>
              <w:top w:w="120" w:type="dxa"/>
              <w:left w:w="110" w:type="dxa"/>
              <w:bottom w:w="120" w:type="dxa"/>
              <w:right w:w="110" w:type="dxa"/>
            </w:tcMar>
            <w:vAlign w:val="center"/>
          </w:tcPr>
          <w:p>
            <w:pPr>
              <w:spacing w:after="0" w:line="252" w:lineRule="auto"/>
              <w:jc w:val="center"/>
            </w:pPr>
            <w:r>
              <w:rPr>
                <w:rFonts w:hint="eastAsia" w:ascii="Noto Sans CJK SC" w:hAnsi="Noto Sans CJK SC" w:eastAsia="Noto Sans CJK SC"/>
                <w:b w:val="1"/>
                <w:color w:val="FFFFFF"/>
                <w:sz w:val="17"/>
              </w:rPr>
              <w:t>30日理论留存</w:t>
            </w:r>
          </w:p>
        </w:tc>
      </w:tr>
      <w:tr>
        <w:trPr>
          <w:cantSplit w:val="1"/>
        </w:trPr>
        <w:tc>
          <w:tcPr>
            <w:tcW w:w="1800"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7"/>
              </w:rPr>
              <w:t>¥100,000</w:t>
            </w:r>
          </w:p>
        </w:tc>
        <w:tc>
          <w:tcPr>
            <w:tcW w:w="2232"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7"/>
              </w:rPr>
              <w:t>¥2,100</w:t>
            </w:r>
          </w:p>
        </w:tc>
        <w:tc>
          <w:tcPr>
            <w:tcW w:w="2520"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7"/>
              </w:rPr>
              <w:t>¥735</w:t>
            </w:r>
          </w:p>
        </w:tc>
        <w:tc>
          <w:tcPr>
            <w:tcW w:w="2520"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7"/>
              </w:rPr>
              <w:t>¥1,365</w:t>
            </w:r>
          </w:p>
        </w:tc>
        <w:tc>
          <w:tcPr>
            <w:tcW w:w="2160"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7"/>
              </w:rPr>
              <w:t>¥40,950</w:t>
            </w:r>
          </w:p>
        </w:tc>
      </w:tr>
      <w:tr>
        <w:trPr>
          <w:cantSplit w:val="1"/>
        </w:trPr>
        <w:tc>
          <w:tcPr>
            <w:tcW w:w="1800"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7"/>
              </w:rPr>
              <w:t>¥1,000,000</w:t>
            </w:r>
          </w:p>
        </w:tc>
        <w:tc>
          <w:tcPr>
            <w:tcW w:w="2232"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7"/>
              </w:rPr>
              <w:t>¥21,000</w:t>
            </w:r>
          </w:p>
        </w:tc>
        <w:tc>
          <w:tcPr>
            <w:tcW w:w="2520"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7"/>
              </w:rPr>
              <w:t>¥7,350</w:t>
            </w:r>
          </w:p>
        </w:tc>
        <w:tc>
          <w:tcPr>
            <w:tcW w:w="2520"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7"/>
              </w:rPr>
              <w:t>¥13,650</w:t>
            </w:r>
          </w:p>
        </w:tc>
        <w:tc>
          <w:tcPr>
            <w:tcW w:w="2160"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7"/>
              </w:rPr>
              <w:t>¥409,500</w:t>
            </w:r>
          </w:p>
        </w:tc>
      </w:tr>
      <w:tr>
        <w:trPr>
          <w:cantSplit w:val="1"/>
        </w:trPr>
        <w:tc>
          <w:tcPr>
            <w:tcW w:w="1800"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7"/>
              </w:rPr>
              <w:t>¥10,000,000</w:t>
            </w:r>
          </w:p>
        </w:tc>
        <w:tc>
          <w:tcPr>
            <w:tcW w:w="2232"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7"/>
              </w:rPr>
              <w:t>¥210,000</w:t>
            </w:r>
          </w:p>
        </w:tc>
        <w:tc>
          <w:tcPr>
            <w:tcW w:w="2520"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7"/>
              </w:rPr>
              <w:t>¥73,500</w:t>
            </w:r>
          </w:p>
        </w:tc>
        <w:tc>
          <w:tcPr>
            <w:tcW w:w="2520"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7"/>
              </w:rPr>
              <w:t>¥136,500</w:t>
            </w:r>
          </w:p>
        </w:tc>
        <w:tc>
          <w:tcPr>
            <w:tcW w:w="2160"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7"/>
              </w:rPr>
              <w:t>¥4,095,000</w:t>
            </w:r>
          </w:p>
        </w:tc>
      </w:tr>
      <w:tr>
        <w:trPr>
          <w:cantSplit w:val="1"/>
        </w:trPr>
        <w:tc>
          <w:tcPr>
            <w:tcW w:w="1800"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7"/>
              </w:rPr>
              <w:t>¥100,000,000</w:t>
            </w:r>
          </w:p>
        </w:tc>
        <w:tc>
          <w:tcPr>
            <w:tcW w:w="2232"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7"/>
              </w:rPr>
              <w:t>¥2,100,000</w:t>
            </w:r>
          </w:p>
        </w:tc>
        <w:tc>
          <w:tcPr>
            <w:tcW w:w="2520"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7"/>
              </w:rPr>
              <w:t>¥735,000</w:t>
            </w:r>
          </w:p>
        </w:tc>
        <w:tc>
          <w:tcPr>
            <w:tcW w:w="2520"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7"/>
              </w:rPr>
              <w:t>¥1,365,000</w:t>
            </w:r>
          </w:p>
        </w:tc>
        <w:tc>
          <w:tcPr>
            <w:tcW w:w="2160"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7"/>
              </w:rPr>
              <w:t>¥40,950,000</w:t>
            </w:r>
          </w:p>
        </w:tc>
      </w:tr>
    </w:tbl>
    <w:p>
      <w:pPr>
        <w:spacing w:after="20"/>
      </w:pPr>
    </w:p>
    <w:p>
      <w:pPr>
        <w:spacing w:after="120" w:line="307" w:lineRule="auto"/>
      </w:pPr>
      <w:r>
        <w:rPr>
          <w:rFonts w:hint="eastAsia" w:ascii="Noto Sans CJK SC" w:hAnsi="Noto Sans CJK SC" w:eastAsia="Noto Sans CJK SC"/>
          <w:b w:val="0"/>
          <w:sz w:val="21"/>
        </w:rPr>
        <w:t>实际平台利润还取决于有效代理层数、积分的真实成本、GIP奖励、剧本/IP采购或分成、获客成本、支付费用、坏账/违约、运营人力和税费。完整财务模型应按月拆分GMV、成交率、费用率和现金流。</w:t>
      </w:r>
    </w:p>
    <w:p>
      <w:pPr>
        <w:pStyle w:val="000008"/>
      </w:pPr>
      <w:r>
        <w:rPr>
          <w:rFonts w:hint="eastAsia" w:ascii="Noto Sans CJK SC" w:hAnsi="Noto Sans CJK SC" w:eastAsia="Noto Sans CJK SC"/>
          <w:b w:val="0"/>
          <w:sz w:val="21"/>
        </w:rPr>
        <w:t>16. 流动性、价格增长与可持续性</w:t>
      </w:r>
    </w:p>
    <w:p>
      <w:pPr>
        <w:spacing w:after="120" w:line="307" w:lineRule="auto"/>
      </w:pPr>
      <w:r>
        <w:rPr>
          <w:rFonts w:hint="eastAsia" w:ascii="Noto Sans CJK SC" w:hAnsi="Noto Sans CJK SC" w:eastAsia="Noto Sans CJK SC"/>
          <w:b w:val="0"/>
          <w:sz w:val="21"/>
        </w:rPr>
        <w:t>当前P2P结构中，上一位持有人的退出依赖下一位真实买家。因此“账面价格增长”与“已实现收益”不是同一件事。流动性不足时，短剧剧本会进入待售堆积，卖家无法按预期时间退出。</w:t>
      </w:r>
    </w:p>
    <w:tbl>
      <w:tblPr>
        <w:tblStyle w:val="000049"/>
        <w:tblW w:w="0" w:type="auto"/>
        <w:jc w:val="center"/>
        <w:tblLayout w:type="fixed"/>
        <w:tblLook w:firstRow="1" w:lastRow="0" w:firstColumn="1" w:lastColumn="0" w:noHBand="0" w:noVBand="1" w:val="04A0"/>
      </w:tblPr>
      <w:tblGrid>
        <w:gridCol w:w="5083"/>
        <w:gridCol w:w="5083"/>
      </w:tblGrid>
      <w:tr>
        <w:trPr>
          <w:cantSplit w:val="1"/>
          <w:tblHeader w:val="1"/>
        </w:trPr>
        <w:tc>
          <w:tcPr>
            <w:tcW w:w="4896" w:type="dxa"/>
            <w:shd w:fill="1F4E78"/>
            <w:tcMar>
              <w:top w:w="120" w:type="dxa"/>
              <w:left w:w="110" w:type="dxa"/>
              <w:bottom w:w="120" w:type="dxa"/>
              <w:right w:w="110" w:type="dxa"/>
            </w:tcMar>
            <w:vAlign w:val="center"/>
          </w:tcPr>
          <w:p>
            <w:pPr>
              <w:spacing w:after="0" w:line="252" w:lineRule="auto"/>
              <w:jc w:val="center"/>
            </w:pPr>
            <w:r>
              <w:rPr>
                <w:rFonts w:hint="eastAsia" w:ascii="Noto Sans CJK SC" w:hAnsi="Noto Sans CJK SC" w:eastAsia="Noto Sans CJK SC"/>
                <w:b w:val="1"/>
                <w:color w:val="FFFFFF"/>
                <w:sz w:val="18"/>
              </w:rPr>
              <w:t>3%每日复利示例（初始¥10,000）</w:t>
            </w:r>
          </w:p>
        </w:tc>
        <w:tc>
          <w:tcPr>
            <w:tcW w:w="4752" w:type="dxa"/>
            <w:shd w:fill="1F4E78"/>
            <w:tcMar>
              <w:top w:w="120" w:type="dxa"/>
              <w:left w:w="110" w:type="dxa"/>
              <w:bottom w:w="120" w:type="dxa"/>
              <w:right w:w="110" w:type="dxa"/>
            </w:tcMar>
            <w:vAlign w:val="center"/>
          </w:tcPr>
          <w:p>
            <w:pPr>
              <w:spacing w:after="0" w:line="252" w:lineRule="auto"/>
              <w:jc w:val="center"/>
            </w:pPr>
            <w:r>
              <w:rPr>
                <w:rFonts w:hint="eastAsia" w:ascii="Noto Sans CJK SC" w:hAnsi="Noto Sans CJK SC" w:eastAsia="Noto Sans CJK SC"/>
                <w:b w:val="1"/>
                <w:color w:val="FFFFFF"/>
                <w:sz w:val="18"/>
              </w:rPr>
              <w:t>理论价格</w:t>
            </w:r>
          </w:p>
        </w:tc>
      </w:tr>
      <w:tr>
        <w:trPr>
          <w:cantSplit w:val="1"/>
        </w:trPr>
        <w:tc>
          <w:tcPr>
            <w:tcW w:w="4896"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8"/>
              </w:rPr>
              <w:t>30天</w:t>
            </w:r>
          </w:p>
        </w:tc>
        <w:tc>
          <w:tcPr>
            <w:tcW w:w="4752"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8"/>
              </w:rPr>
              <w:t>约¥24,272.62</w:t>
            </w:r>
          </w:p>
        </w:tc>
      </w:tr>
      <w:tr>
        <w:trPr>
          <w:cantSplit w:val="1"/>
        </w:trPr>
        <w:tc>
          <w:tcPr>
            <w:tcW w:w="4896"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8"/>
              </w:rPr>
              <w:t>60天</w:t>
            </w:r>
          </w:p>
        </w:tc>
        <w:tc>
          <w:tcPr>
            <w:tcW w:w="4752"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8"/>
              </w:rPr>
              <w:t>约¥58,916.03</w:t>
            </w:r>
          </w:p>
        </w:tc>
      </w:tr>
      <w:tr>
        <w:trPr>
          <w:cantSplit w:val="1"/>
        </w:trPr>
        <w:tc>
          <w:tcPr>
            <w:tcW w:w="4896"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8"/>
              </w:rPr>
              <w:t>90天</w:t>
            </w:r>
          </w:p>
        </w:tc>
        <w:tc>
          <w:tcPr>
            <w:tcW w:w="4752"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8"/>
              </w:rPr>
              <w:t>约¥143,004.67</w:t>
            </w:r>
          </w:p>
        </w:tc>
      </w:tr>
      <w:tr>
        <w:trPr>
          <w:cantSplit w:val="1"/>
        </w:trPr>
        <w:tc>
          <w:tcPr>
            <w:tcW w:w="4896"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8"/>
              </w:rPr>
              <w:t>180天</w:t>
            </w:r>
          </w:p>
        </w:tc>
        <w:tc>
          <w:tcPr>
            <w:tcW w:w="4752"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8"/>
              </w:rPr>
              <w:t>约¥2,045,033.60</w:t>
            </w:r>
          </w:p>
        </w:tc>
      </w:tr>
      <w:tr>
        <w:trPr>
          <w:cantSplit w:val="1"/>
        </w:trPr>
        <w:tc>
          <w:tcPr>
            <w:tcW w:w="4896"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8"/>
              </w:rPr>
              <w:t>365天</w:t>
            </w:r>
          </w:p>
        </w:tc>
        <w:tc>
          <w:tcPr>
            <w:tcW w:w="4752"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8"/>
              </w:rPr>
              <w:t>约¥484,827,245.28</w:t>
            </w:r>
          </w:p>
        </w:tc>
      </w:tr>
    </w:tbl>
    <w:p>
      <w:pPr>
        <w:spacing w:after="20"/>
      </w:pPr>
    </w:p>
    <w:tbl>
      <w:tblPr>
        <w:tblW w:w="0" w:type="auto"/>
        <w:jc w:val="center"/>
        <w:tblLayout w:type="fixed"/>
        <w:tblLook w:firstRow="1" w:lastRow="0" w:firstColumn="1" w:lastColumn="0" w:noHBand="0" w:noVBand="1" w:val="04A0"/>
      </w:tblPr>
      <w:tblGrid>
        <w:gridCol w:w="10166"/>
      </w:tblGrid>
      <w:tr>
        <w:trPr>
          <w:cantSplit w:val="1"/>
        </w:trPr>
        <w:tc>
          <w:tcPr>
            <w:tcW w:w="10166" w:type="dxa"/>
            <w:tcBorders>
              <w:left w:val="single" w:color="C55A11" w:sz="18"/>
            </w:tcBorders>
            <w:shd w:fill="FFF2CC"/>
            <w:tcMar>
              <w:top w:w="140" w:type="dxa"/>
              <w:left w:w="160" w:type="dxa"/>
              <w:bottom w:w="140" w:type="dxa"/>
              <w:right w:w="160" w:type="dxa"/>
            </w:tcMar>
          </w:tcPr>
          <w:p>
            <w:pPr>
              <w:keepNext w:val="1"/>
              <w:spacing w:after="80"/>
            </w:pPr>
            <w:r>
              <w:rPr>
                <w:rFonts w:hint="eastAsia" w:ascii="Noto Sans CJK SC" w:hAnsi="Noto Sans CJK SC" w:eastAsia="Noto Sans CJK SC"/>
                <w:b w:val="1"/>
                <w:color w:val="C55A11"/>
                <w:sz w:val="21"/>
              </w:rPr>
              <w:t>价格增长风险</w:t>
            </w:r>
          </w:p>
          <w:p>
            <w:pPr>
              <w:spacing w:after="0" w:line="293" w:lineRule="auto"/>
            </w:pPr>
            <w:r>
              <w:rPr>
                <w:rFonts w:hint="eastAsia" w:ascii="Noto Sans CJK SC" w:hAnsi="Noto Sans CJK SC" w:eastAsia="Noto Sans CJK SC"/>
                <w:b w:val="0"/>
                <w:color w:val="1F1F1F"/>
                <w:sz w:val="19"/>
              </w:rPr>
              <w:t>同一剧本如果无限按2%/3%日复利循环，价格会迅速偏离其真实商业价值。因此必须设置交易期限、价格上限、交易次数上限、IP价值评估、暂停机制或从P2P交易阶段切换到真实短剧制作/发行收益阶段。</w:t>
            </w:r>
          </w:p>
        </w:tc>
      </w:tr>
    </w:tbl>
    <w:p>
      <w:pPr>
        <w:spacing w:after="20"/>
      </w:pPr>
    </w:p>
    <w:p>
      <w:pPr>
        <w:pStyle w:val="00000a"/>
      </w:pPr>
      <w:r>
        <w:rPr>
          <w:rFonts w:hint="eastAsia" w:ascii="Noto Sans CJK SC" w:hAnsi="Noto Sans CJK SC" w:eastAsia="Noto Sans CJK SC"/>
          <w:b w:val="0"/>
          <w:sz w:val="21"/>
        </w:rPr>
        <w:t>16.1 建议的真实价值锚</w:t>
      </w:r>
    </w:p>
    <w:p>
      <w:pPr>
        <w:pStyle w:val="00002c"/>
        <w:spacing w:after="60"/>
        <w:ind w:left="259" w:hanging="173"/>
      </w:pPr>
      <w:r>
        <w:rPr>
          <w:rFonts w:hint="eastAsia" w:ascii="Noto Sans CJK SC" w:hAnsi="Noto Sans CJK SC" w:eastAsia="Noto Sans CJK SC"/>
          <w:b w:val="0"/>
          <w:sz w:val="20"/>
        </w:rPr>
        <w:t>剧本授权收入与制片方采购收入。</w:t>
      </w:r>
    </w:p>
    <w:p>
      <w:pPr>
        <w:pStyle w:val="00002c"/>
        <w:spacing w:after="60"/>
        <w:ind w:left="259" w:hanging="173"/>
      </w:pPr>
      <w:r>
        <w:rPr>
          <w:rFonts w:hint="eastAsia" w:ascii="Noto Sans CJK SC" w:hAnsi="Noto Sans CJK SC" w:eastAsia="Noto Sans CJK SC"/>
          <w:b w:val="0"/>
          <w:sz w:val="20"/>
        </w:rPr>
        <w:t>短剧制作、上线后的播放分账和广告收入。</w:t>
      </w:r>
    </w:p>
    <w:p>
      <w:pPr>
        <w:pStyle w:val="00002c"/>
        <w:spacing w:after="60"/>
        <w:ind w:left="259" w:hanging="173"/>
      </w:pPr>
      <w:r>
        <w:rPr>
          <w:rFonts w:hint="eastAsia" w:ascii="Noto Sans CJK SC" w:hAnsi="Noto Sans CJK SC" w:eastAsia="Noto Sans CJK SC"/>
          <w:b w:val="0"/>
          <w:sz w:val="20"/>
        </w:rPr>
        <w:t>IP授权、衍生品、品牌合作和版权转售。</w:t>
      </w:r>
    </w:p>
    <w:p>
      <w:pPr>
        <w:pStyle w:val="00002c"/>
        <w:spacing w:after="60"/>
        <w:ind w:left="259" w:hanging="173"/>
      </w:pPr>
      <w:r>
        <w:rPr>
          <w:rFonts w:hint="eastAsia" w:ascii="Noto Sans CJK SC" w:hAnsi="Noto Sans CJK SC" w:eastAsia="Noto Sans CJK SC"/>
          <w:b w:val="0"/>
          <w:sz w:val="20"/>
        </w:rPr>
        <w:t>海外发行、翻拍权、改编权等版权收入。</w:t>
      </w:r>
    </w:p>
    <w:p>
      <w:pPr>
        <w:pStyle w:val="00002c"/>
        <w:spacing w:after="60"/>
        <w:ind w:left="259" w:hanging="173"/>
      </w:pPr>
      <w:r>
        <w:rPr>
          <w:rFonts w:hint="eastAsia" w:ascii="Noto Sans CJK SC" w:hAnsi="Noto Sans CJK SC" w:eastAsia="Noto Sans CJK SC"/>
          <w:b w:val="0"/>
          <w:sz w:val="20"/>
        </w:rPr>
        <w:t>平台对创作者、制片方提供的撮合、发行、数据和营销服务收入。</w:t>
      </w:r>
    </w:p>
    <w:p>
      <w:pPr>
        <w:spacing w:after="120" w:line="307" w:lineRule="auto"/>
      </w:pPr>
      <w:r>
        <w:rPr>
          <w:rFonts w:hint="eastAsia" w:ascii="Noto Sans CJK SC" w:hAnsi="Noto Sans CJK SC" w:eastAsia="Noto Sans CJK SC"/>
          <w:b w:val="0"/>
          <w:sz w:val="21"/>
        </w:rPr>
        <w:t>长期可持续的结构应让“短剧产业真实现金流”逐步成为用户权益和平台利润的重要来源，而不是完全依赖下一位用户以更高价格接手。</w:t>
      </w:r>
    </w:p>
    <w:p>
      <w:pPr>
        <w:pStyle w:val="000008"/>
      </w:pPr>
      <w:r>
        <w:rPr>
          <w:rFonts w:hint="eastAsia" w:ascii="Noto Sans CJK SC" w:hAnsi="Noto Sans CJK SC" w:eastAsia="Noto Sans CJK SC"/>
          <w:b w:val="0"/>
          <w:sz w:val="21"/>
        </w:rPr>
        <w:t>17. 系统模块与技术实现基线</w:t>
      </w:r>
    </w:p>
    <w:tbl>
      <w:tblPr>
        <w:tblStyle w:val="000049"/>
        <w:tblW w:w="0" w:type="auto"/>
        <w:jc w:val="center"/>
        <w:tblLayout w:type="fixed"/>
        <w:tblLook w:firstRow="1" w:lastRow="0" w:firstColumn="1" w:lastColumn="0" w:noHBand="0" w:noVBand="1" w:val="04A0"/>
      </w:tblPr>
      <w:tblGrid>
        <w:gridCol w:w="5083"/>
        <w:gridCol w:w="5083"/>
      </w:tblGrid>
      <w:tr>
        <w:trPr>
          <w:cantSplit w:val="1"/>
          <w:tblHeader w:val="1"/>
        </w:trPr>
        <w:tc>
          <w:tcPr>
            <w:tcW w:w="2304" w:type="dxa"/>
            <w:shd w:fill="1F4E78"/>
            <w:tcMar>
              <w:top w:w="120" w:type="dxa"/>
              <w:left w:w="110" w:type="dxa"/>
              <w:bottom w:w="120" w:type="dxa"/>
              <w:right w:w="110" w:type="dxa"/>
            </w:tcMar>
            <w:vAlign w:val="center"/>
          </w:tcPr>
          <w:p>
            <w:pPr>
              <w:spacing w:after="0" w:line="252" w:lineRule="auto"/>
              <w:jc w:val="center"/>
            </w:pPr>
            <w:r>
              <w:rPr>
                <w:rFonts w:hint="eastAsia" w:ascii="Noto Sans CJK SC" w:hAnsi="Noto Sans CJK SC" w:eastAsia="Noto Sans CJK SC"/>
                <w:b w:val="1"/>
                <w:color w:val="FFFFFF"/>
                <w:sz w:val="16"/>
              </w:rPr>
              <w:t>系统模块</w:t>
            </w:r>
          </w:p>
        </w:tc>
        <w:tc>
          <w:tcPr>
            <w:tcW w:w="7488" w:type="dxa"/>
            <w:shd w:fill="1F4E78"/>
            <w:tcMar>
              <w:top w:w="120" w:type="dxa"/>
              <w:left w:w="110" w:type="dxa"/>
              <w:bottom w:w="120" w:type="dxa"/>
              <w:right w:w="110" w:type="dxa"/>
            </w:tcMar>
            <w:vAlign w:val="center"/>
          </w:tcPr>
          <w:p>
            <w:pPr>
              <w:spacing w:after="0" w:line="252" w:lineRule="auto"/>
              <w:jc w:val="center"/>
            </w:pPr>
            <w:r>
              <w:rPr>
                <w:rFonts w:hint="eastAsia" w:ascii="Noto Sans CJK SC" w:hAnsi="Noto Sans CJK SC" w:eastAsia="Noto Sans CJK SC"/>
                <w:b w:val="1"/>
                <w:color w:val="FFFFFF"/>
                <w:sz w:val="16"/>
              </w:rPr>
              <w:t>核心功能</w:t>
            </w:r>
          </w:p>
        </w:tc>
      </w:tr>
      <w:tr>
        <w:trPr>
          <w:cantSplit w:val="1"/>
        </w:trPr>
        <w:tc>
          <w:tcPr>
            <w:tcW w:w="2304"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6"/>
              </w:rPr>
              <w:t>用户系统</w:t>
            </w:r>
          </w:p>
        </w:tc>
        <w:tc>
          <w:tcPr>
            <w:tcW w:w="7488" w:type="dxa"/>
            <w:tcMar>
              <w:top w:w="100" w:type="dxa"/>
              <w:left w:w="110" w:type="dxa"/>
              <w:bottom w:w="100" w:type="dxa"/>
              <w:right w:w="110" w:type="dxa"/>
            </w:tcMar>
            <w:vAlign w:val="center"/>
          </w:tcPr>
          <w:p>
            <w:pPr>
              <w:spacing w:after="0" w:line="259" w:lineRule="auto"/>
              <w:jc w:val="left"/>
            </w:pPr>
            <w:r>
              <w:rPr>
                <w:rFonts w:hint="eastAsia" w:ascii="Noto Sans CJK SC" w:hAnsi="Noto Sans CJK SC" w:eastAsia="Noto Sans CJK SC"/>
                <w:b w:val="0"/>
                <w:color w:val="1F1F1F"/>
                <w:sz w:val="16"/>
              </w:rPr>
              <w:t>注册、邀请码、实名认证、账号状态、封禁/解封</w:t>
            </w:r>
          </w:p>
        </w:tc>
      </w:tr>
      <w:tr>
        <w:trPr>
          <w:cantSplit w:val="1"/>
        </w:trPr>
        <w:tc>
          <w:tcPr>
            <w:tcW w:w="2304"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6"/>
              </w:rPr>
              <w:t>短剧剧本中心</w:t>
            </w:r>
          </w:p>
        </w:tc>
        <w:tc>
          <w:tcPr>
            <w:tcW w:w="7488" w:type="dxa"/>
            <w:tcMar>
              <w:top w:w="100" w:type="dxa"/>
              <w:left w:w="110" w:type="dxa"/>
              <w:bottom w:w="100" w:type="dxa"/>
              <w:right w:w="110" w:type="dxa"/>
            </w:tcMar>
            <w:vAlign w:val="center"/>
          </w:tcPr>
          <w:p>
            <w:pPr>
              <w:spacing w:after="0" w:line="259" w:lineRule="auto"/>
              <w:jc w:val="left"/>
            </w:pPr>
            <w:r>
              <w:rPr>
                <w:rFonts w:hint="eastAsia" w:ascii="Noto Sans CJK SC" w:hAnsi="Noto Sans CJK SC" w:eastAsia="Noto Sans CJK SC"/>
                <w:b w:val="0"/>
                <w:color w:val="1F1F1F"/>
                <w:sz w:val="16"/>
              </w:rPr>
              <w:t>剧本信息、权利文件、审核、发行、生命周期、价格和状态</w:t>
            </w:r>
          </w:p>
        </w:tc>
      </w:tr>
      <w:tr>
        <w:trPr>
          <w:cantSplit w:val="1"/>
        </w:trPr>
        <w:tc>
          <w:tcPr>
            <w:tcW w:w="2304"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6"/>
              </w:rPr>
              <w:t>代理系统</w:t>
            </w:r>
          </w:p>
        </w:tc>
        <w:tc>
          <w:tcPr>
            <w:tcW w:w="7488" w:type="dxa"/>
            <w:tcMar>
              <w:top w:w="100" w:type="dxa"/>
              <w:left w:w="110" w:type="dxa"/>
              <w:bottom w:w="100" w:type="dxa"/>
              <w:right w:w="110" w:type="dxa"/>
            </w:tcMar>
            <w:vAlign w:val="center"/>
          </w:tcPr>
          <w:p>
            <w:pPr>
              <w:spacing w:after="0" w:line="259" w:lineRule="auto"/>
              <w:jc w:val="left"/>
            </w:pPr>
            <w:r>
              <w:rPr>
                <w:rFonts w:hint="eastAsia" w:ascii="Noto Sans CJK SC" w:hAnsi="Noto Sans CJK SC" w:eastAsia="Noto Sans CJK SC"/>
                <w:b w:val="0"/>
                <w:color w:val="1F1F1F"/>
                <w:sz w:val="16"/>
              </w:rPr>
              <w:t>推荐关系、10代关系链、团队统计、返佣查询</w:t>
            </w:r>
          </w:p>
        </w:tc>
      </w:tr>
      <w:tr>
        <w:trPr>
          <w:cantSplit w:val="1"/>
        </w:trPr>
        <w:tc>
          <w:tcPr>
            <w:tcW w:w="2304"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6"/>
              </w:rPr>
              <w:t>配置中心</w:t>
            </w:r>
          </w:p>
        </w:tc>
        <w:tc>
          <w:tcPr>
            <w:tcW w:w="7488" w:type="dxa"/>
            <w:tcMar>
              <w:top w:w="100" w:type="dxa"/>
              <w:left w:w="110" w:type="dxa"/>
              <w:bottom w:w="100" w:type="dxa"/>
              <w:right w:w="110" w:type="dxa"/>
            </w:tcMar>
            <w:vAlign w:val="center"/>
          </w:tcPr>
          <w:p>
            <w:pPr>
              <w:spacing w:after="0" w:line="259" w:lineRule="auto"/>
              <w:jc w:val="left"/>
            </w:pPr>
            <w:r>
              <w:rPr>
                <w:rFonts w:hint="eastAsia" w:ascii="Noto Sans CJK SC" w:hAnsi="Noto Sans CJK SC" w:eastAsia="Noto Sans CJK SC"/>
                <w:b w:val="0"/>
                <w:color w:val="1F1F1F"/>
                <w:sz w:val="16"/>
              </w:rPr>
              <w:t>专区、档位、时间、周期、增长率、Drama</w:t>
            </w:r>
            <w:r>
              <w:rPr>
                <w:rFonts w:hint="eastAsia" w:ascii="Noto Sans CJK SC" w:hAnsi="Noto Sans CJK SC" w:eastAsia="Noto Sans CJK SC"/>
                <w:b w:val="0"/>
                <w:color w:val="1F1F1F"/>
                <w:sz w:val="16"/>
              </w:rPr>
              <w:t>、GIP、返佣比例、市场开关、规则版本</w:t>
            </w:r>
          </w:p>
        </w:tc>
      </w:tr>
      <w:tr>
        <w:trPr>
          <w:cantSplit w:val="1"/>
        </w:trPr>
        <w:tc>
          <w:tcPr>
            <w:tcW w:w="2304"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6"/>
              </w:rPr>
              <w:t>Drama</w:t>
            </w:r>
            <w:r>
              <w:rPr>
                <w:rFonts w:hint="eastAsia" w:ascii="Noto Sans CJK SC" w:hAnsi="Noto Sans CJK SC" w:eastAsia="Noto Sans CJK SC"/>
                <w:b w:val="0"/>
                <w:color w:val="1F1F1F"/>
                <w:sz w:val="16"/>
              </w:rPr>
              <w:t>钱包</w:t>
            </w:r>
          </w:p>
        </w:tc>
        <w:tc>
          <w:tcPr>
            <w:tcW w:w="7488" w:type="dxa"/>
            <w:tcMar>
              <w:top w:w="100" w:type="dxa"/>
              <w:left w:w="110" w:type="dxa"/>
              <w:bottom w:w="100" w:type="dxa"/>
              <w:right w:w="110" w:type="dxa"/>
            </w:tcMar>
            <w:vAlign w:val="center"/>
          </w:tcPr>
          <w:p>
            <w:pPr>
              <w:spacing w:after="0" w:line="259" w:lineRule="auto"/>
              <w:jc w:val="left"/>
            </w:pPr>
            <w:r>
              <w:rPr>
                <w:rFonts w:hint="eastAsia" w:ascii="Noto Sans CJK SC" w:hAnsi="Noto Sans CJK SC" w:eastAsia="Noto Sans CJK SC"/>
                <w:b w:val="0"/>
                <w:color w:val="1F1F1F"/>
                <w:sz w:val="16"/>
              </w:rPr>
              <w:t>充值、冻结、解冻、预约、手续费、积分转换、佣金、违约销毁/补偿</w:t>
            </w:r>
          </w:p>
        </w:tc>
      </w:tr>
      <w:tr>
        <w:trPr>
          <w:cantSplit w:val="1"/>
        </w:trPr>
        <w:tc>
          <w:tcPr>
            <w:tcW w:w="2304"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6"/>
              </w:rPr>
              <w:t>积分钱包</w:t>
            </w:r>
          </w:p>
        </w:tc>
        <w:tc>
          <w:tcPr>
            <w:tcW w:w="7488"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6"/>
              </w:rPr>
              <w:t>积分产生、冻结、兑换、冲正</w:t>
            </w:r>
          </w:p>
        </w:tc>
      </w:tr>
      <w:tr>
        <w:trPr>
          <w:cantSplit w:val="1"/>
        </w:trPr>
        <w:tc>
          <w:tcPr>
            <w:tcW w:w="2304"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6"/>
              </w:rPr>
              <w:t>GIP钱包</w:t>
            </w:r>
          </w:p>
        </w:tc>
        <w:tc>
          <w:tcPr>
            <w:tcW w:w="7488"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6"/>
              </w:rPr>
              <w:t>奖励、冻结、使用、流水</w:t>
            </w:r>
          </w:p>
        </w:tc>
      </w:tr>
      <w:tr>
        <w:trPr>
          <w:cantSplit w:val="1"/>
        </w:trPr>
        <w:tc>
          <w:tcPr>
            <w:tcW w:w="2304"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6"/>
              </w:rPr>
              <w:t>预约系统</w:t>
            </w:r>
          </w:p>
        </w:tc>
        <w:tc>
          <w:tcPr>
            <w:tcW w:w="7488"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6"/>
              </w:rPr>
              <w:t>预约、Drama</w:t>
            </w:r>
            <w:r>
              <w:rPr>
                <w:rFonts w:hint="eastAsia" w:ascii="Noto Sans CJK SC" w:hAnsi="Noto Sans CJK SC" w:eastAsia="Noto Sans CJK SC"/>
                <w:b w:val="0"/>
                <w:color w:val="1F1F1F"/>
                <w:sz w:val="16"/>
              </w:rPr>
              <w:t>冻结、取消、到期、释放</w:t>
            </w:r>
          </w:p>
        </w:tc>
      </w:tr>
      <w:tr>
        <w:trPr>
          <w:cantSplit w:val="1"/>
        </w:trPr>
        <w:tc>
          <w:tcPr>
            <w:tcW w:w="2304"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6"/>
              </w:rPr>
              <w:t>抢购系统</w:t>
            </w:r>
          </w:p>
        </w:tc>
        <w:tc>
          <w:tcPr>
            <w:tcW w:w="7488"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6"/>
              </w:rPr>
              <w:t>队列、撮合、成功/失败、GIP触发</w:t>
            </w:r>
          </w:p>
        </w:tc>
      </w:tr>
      <w:tr>
        <w:trPr>
          <w:cantSplit w:val="1"/>
        </w:trPr>
        <w:tc>
          <w:tcPr>
            <w:tcW w:w="2304"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6"/>
              </w:rPr>
              <w:t>P2P订单</w:t>
            </w:r>
          </w:p>
        </w:tc>
        <w:tc>
          <w:tcPr>
            <w:tcW w:w="7488" w:type="dxa"/>
            <w:tcMar>
              <w:top w:w="100" w:type="dxa"/>
              <w:left w:w="110" w:type="dxa"/>
              <w:bottom w:w="100" w:type="dxa"/>
              <w:right w:w="110" w:type="dxa"/>
            </w:tcMar>
            <w:vAlign w:val="center"/>
          </w:tcPr>
          <w:p>
            <w:pPr>
              <w:spacing w:after="0" w:line="259" w:lineRule="auto"/>
              <w:jc w:val="left"/>
            </w:pPr>
            <w:r>
              <w:rPr>
                <w:rFonts w:hint="eastAsia" w:ascii="Noto Sans CJK SC" w:hAnsi="Noto Sans CJK SC" w:eastAsia="Noto Sans CJK SC"/>
                <w:b w:val="0"/>
                <w:color w:val="1F1F1F"/>
                <w:sz w:val="16"/>
              </w:rPr>
              <w:t>买卖双方、金额、付款倒计时、凭证、放行、申诉</w:t>
            </w:r>
          </w:p>
        </w:tc>
      </w:tr>
      <w:tr>
        <w:trPr>
          <w:cantSplit w:val="1"/>
        </w:trPr>
        <w:tc>
          <w:tcPr>
            <w:tcW w:w="2304"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6"/>
              </w:rPr>
              <w:t>持仓/上架</w:t>
            </w:r>
          </w:p>
        </w:tc>
        <w:tc>
          <w:tcPr>
            <w:tcW w:w="7488" w:type="dxa"/>
            <w:tcMar>
              <w:top w:w="100" w:type="dxa"/>
              <w:left w:w="110" w:type="dxa"/>
              <w:bottom w:w="100" w:type="dxa"/>
              <w:right w:w="110" w:type="dxa"/>
            </w:tcMar>
            <w:vAlign w:val="center"/>
          </w:tcPr>
          <w:p>
            <w:pPr>
              <w:spacing w:after="0" w:line="259" w:lineRule="auto"/>
              <w:jc w:val="left"/>
            </w:pPr>
            <w:r>
              <w:rPr>
                <w:rFonts w:hint="eastAsia" w:ascii="Noto Sans CJK SC" w:hAnsi="Noto Sans CJK SC" w:eastAsia="Noto Sans CJK SC"/>
                <w:b w:val="0"/>
                <w:color w:val="1F1F1F"/>
                <w:sz w:val="16"/>
              </w:rPr>
              <w:t>持有、到期扫描、Drama</w:t>
            </w:r>
            <w:r>
              <w:rPr>
                <w:rFonts w:hint="eastAsia" w:ascii="Noto Sans CJK SC" w:hAnsi="Noto Sans CJK SC" w:eastAsia="Noto Sans CJK SC"/>
                <w:b w:val="0"/>
                <w:color w:val="1F1F1F"/>
                <w:sz w:val="16"/>
              </w:rPr>
              <w:t>校验、上架、待匹配</w:t>
            </w:r>
          </w:p>
        </w:tc>
      </w:tr>
      <w:tr>
        <w:trPr>
          <w:cantSplit w:val="1"/>
        </w:trPr>
        <w:tc>
          <w:tcPr>
            <w:tcW w:w="2304"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6"/>
              </w:rPr>
              <w:t>结算引擎</w:t>
            </w:r>
          </w:p>
        </w:tc>
        <w:tc>
          <w:tcPr>
            <w:tcW w:w="7488" w:type="dxa"/>
            <w:tcMar>
              <w:top w:w="100" w:type="dxa"/>
              <w:left w:w="110" w:type="dxa"/>
              <w:bottom w:w="100" w:type="dxa"/>
              <w:right w:w="110" w:type="dxa"/>
            </w:tcMar>
            <w:vAlign w:val="center"/>
          </w:tcPr>
          <w:p>
            <w:pPr>
              <w:spacing w:after="0" w:line="259" w:lineRule="auto"/>
              <w:jc w:val="left"/>
            </w:pPr>
            <w:r>
              <w:rPr>
                <w:rFonts w:hint="eastAsia" w:ascii="Noto Sans CJK SC" w:hAnsi="Noto Sans CJK SC" w:eastAsia="Noto Sans CJK SC"/>
                <w:b w:val="0"/>
                <w:color w:val="1F1F1F"/>
                <w:sz w:val="16"/>
              </w:rPr>
              <w:t>增长、手续费、现金、积分、代理返佣统一结算</w:t>
            </w:r>
          </w:p>
        </w:tc>
      </w:tr>
      <w:tr>
        <w:trPr>
          <w:cantSplit w:val="1"/>
        </w:trPr>
        <w:tc>
          <w:tcPr>
            <w:tcW w:w="2304"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6"/>
              </w:rPr>
              <w:t>客服风控</w:t>
            </w:r>
          </w:p>
        </w:tc>
        <w:tc>
          <w:tcPr>
            <w:tcW w:w="7488" w:type="dxa"/>
            <w:tcMar>
              <w:top w:w="100" w:type="dxa"/>
              <w:left w:w="110" w:type="dxa"/>
              <w:bottom w:w="100" w:type="dxa"/>
              <w:right w:w="110" w:type="dxa"/>
            </w:tcMar>
            <w:vAlign w:val="center"/>
          </w:tcPr>
          <w:p>
            <w:pPr>
              <w:spacing w:after="0" w:line="259" w:lineRule="auto"/>
              <w:jc w:val="left"/>
            </w:pPr>
            <w:r>
              <w:rPr>
                <w:rFonts w:hint="eastAsia" w:ascii="Noto Sans CJK SC" w:hAnsi="Noto Sans CJK SC" w:eastAsia="Noto Sans CJK SC"/>
                <w:b w:val="0"/>
                <w:color w:val="1F1F1F"/>
                <w:sz w:val="16"/>
              </w:rPr>
              <w:t>未放行、假凭证、付款争议、人工裁决、资金处理</w:t>
            </w:r>
          </w:p>
        </w:tc>
      </w:tr>
      <w:tr>
        <w:trPr>
          <w:cantSplit w:val="1"/>
        </w:trPr>
        <w:tc>
          <w:tcPr>
            <w:tcW w:w="2304"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6"/>
              </w:rPr>
              <w:t>后台管理</w:t>
            </w:r>
          </w:p>
        </w:tc>
        <w:tc>
          <w:tcPr>
            <w:tcW w:w="7488" w:type="dxa"/>
            <w:tcMar>
              <w:top w:w="100" w:type="dxa"/>
              <w:left w:w="110" w:type="dxa"/>
              <w:bottom w:w="100" w:type="dxa"/>
              <w:right w:w="110" w:type="dxa"/>
            </w:tcMar>
            <w:vAlign w:val="center"/>
          </w:tcPr>
          <w:p>
            <w:pPr>
              <w:spacing w:after="0" w:line="259" w:lineRule="auto"/>
              <w:jc w:val="left"/>
            </w:pPr>
            <w:r>
              <w:rPr>
                <w:rFonts w:hint="eastAsia" w:ascii="Noto Sans CJK SC" w:hAnsi="Noto Sans CJK SC" w:eastAsia="Noto Sans CJK SC"/>
                <w:b w:val="0"/>
                <w:color w:val="1F1F1F"/>
                <w:sz w:val="16"/>
              </w:rPr>
              <w:t>市场开关、参数、订单、用户、资产、审核、操作日志</w:t>
            </w:r>
          </w:p>
        </w:tc>
      </w:tr>
      <w:tr>
        <w:trPr>
          <w:cantSplit w:val="1"/>
        </w:trPr>
        <w:tc>
          <w:tcPr>
            <w:tcW w:w="2304"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6"/>
              </w:rPr>
              <w:t>财务账本</w:t>
            </w:r>
          </w:p>
        </w:tc>
        <w:tc>
          <w:tcPr>
            <w:tcW w:w="7488" w:type="dxa"/>
            <w:tcMar>
              <w:top w:w="100" w:type="dxa"/>
              <w:left w:w="110" w:type="dxa"/>
              <w:bottom w:w="100" w:type="dxa"/>
              <w:right w:w="110" w:type="dxa"/>
            </w:tcMar>
            <w:vAlign w:val="center"/>
          </w:tcPr>
          <w:p>
            <w:pPr>
              <w:spacing w:after="0" w:line="259" w:lineRule="auto"/>
              <w:jc w:val="left"/>
            </w:pPr>
            <w:r>
              <w:rPr>
                <w:rFonts w:ascii="Noto Sans CJK SC" w:hAnsi="Noto Sans CJK SC" w:eastAsia="Noto Sans CJK SC"/>
                <w:b w:val="0"/>
                <w:color w:val="1F1F1F"/>
                <w:sz w:val="16"/>
              </w:rPr>
              <w:t>Drama</w:t>
            </w:r>
            <w:r>
              <w:rPr>
                <w:rFonts w:hint="eastAsia" w:ascii="Noto Sans CJK SC" w:hAnsi="Noto Sans CJK SC" w:eastAsia="Noto Sans CJK SC"/>
                <w:b w:val="0"/>
                <w:color w:val="1F1F1F"/>
                <w:sz w:val="16"/>
              </w:rPr>
              <w:t>/积分/GIP/返佣全量分录与原始交易ID追溯</w:t>
            </w:r>
          </w:p>
        </w:tc>
      </w:tr>
    </w:tbl>
    <w:p>
      <w:pPr>
        <w:spacing w:after="20"/>
      </w:pPr>
    </w:p>
    <w:p>
      <w:pPr>
        <w:pStyle w:val="00000a"/>
      </w:pPr>
      <w:r>
        <w:rPr>
          <w:rFonts w:hint="eastAsia" w:ascii="Noto Sans CJK SC" w:hAnsi="Noto Sans CJK SC" w:eastAsia="Noto Sans CJK SC"/>
          <w:b w:val="0"/>
          <w:sz w:val="21"/>
        </w:rPr>
        <w:t>17.1 技术原则</w:t>
      </w:r>
    </w:p>
    <w:p>
      <w:pPr>
        <w:pStyle w:val="00002c"/>
        <w:spacing w:after="60"/>
        <w:ind w:left="259" w:hanging="173"/>
      </w:pPr>
      <w:r>
        <w:rPr>
          <w:rFonts w:hint="eastAsia" w:ascii="Noto Sans CJK SC" w:hAnsi="Noto Sans CJK SC" w:eastAsia="Noto Sans CJK SC"/>
          <w:b w:val="0"/>
          <w:sz w:val="20"/>
        </w:rPr>
        <w:t>所有比例、金额档位、时间、周期、奖励、返佣和市场开关全部配置化，并带规则版本号。</w:t>
      </w:r>
    </w:p>
    <w:p>
      <w:pPr>
        <w:pStyle w:val="00002c"/>
        <w:spacing w:after="60"/>
        <w:ind w:left="259" w:hanging="173"/>
      </w:pPr>
      <w:r>
        <w:rPr>
          <w:rFonts w:hint="eastAsia" w:ascii="Noto Sans CJK SC" w:hAnsi="Noto Sans CJK SC" w:eastAsia="Noto Sans CJK SC"/>
          <w:b w:val="0"/>
          <w:sz w:val="20"/>
        </w:rPr>
        <w:t>订单创建时保存完整规则快照，历史订单永远按照下单时规则结算。</w:t>
      </w:r>
    </w:p>
    <w:p>
      <w:pPr>
        <w:pStyle w:val="00002c"/>
        <w:spacing w:after="60"/>
        <w:ind w:left="259" w:hanging="173"/>
      </w:pPr>
      <w:r>
        <w:rPr>
          <w:rFonts w:hint="eastAsia" w:ascii="Noto Sans CJK SC" w:hAnsi="Noto Sans CJK SC" w:eastAsia="Noto Sans CJK SC"/>
          <w:b w:val="0"/>
          <w:sz w:val="20"/>
        </w:rPr>
        <w:t>人民币、Drama</w:t>
      </w:r>
      <w:r>
        <w:rPr>
          <w:rFonts w:hint="eastAsia" w:ascii="Noto Sans CJK SC" w:hAnsi="Noto Sans CJK SC" w:eastAsia="Noto Sans CJK SC"/>
          <w:b w:val="0"/>
          <w:sz w:val="20"/>
        </w:rPr>
        <w:t>、积分和佣金使用Decimal/定点数，禁止二进制浮点数直接结算。</w:t>
      </w:r>
    </w:p>
    <w:p>
      <w:pPr>
        <w:pStyle w:val="00002c"/>
        <w:spacing w:after="60"/>
        <w:ind w:left="259" w:hanging="173"/>
      </w:pPr>
      <w:r>
        <w:rPr>
          <w:rFonts w:hint="eastAsia" w:ascii="Noto Sans CJK SC" w:hAnsi="Noto Sans CJK SC" w:eastAsia="Noto Sans CJK SC"/>
          <w:b w:val="0"/>
          <w:sz w:val="20"/>
        </w:rPr>
        <w:t>所有结算必须幂等；同一订单只能成功结算一次，同一层代理佣金只能生成一次。</w:t>
      </w:r>
    </w:p>
    <w:p>
      <w:pPr>
        <w:pStyle w:val="00002c"/>
        <w:spacing w:after="60"/>
        <w:ind w:left="259" w:hanging="173"/>
      </w:pPr>
      <w:r>
        <w:rPr>
          <w:rFonts w:hint="eastAsia" w:ascii="Noto Sans CJK SC" w:hAnsi="Noto Sans CJK SC" w:eastAsia="Noto Sans CJK SC"/>
          <w:b w:val="0"/>
          <w:sz w:val="20"/>
        </w:rPr>
        <w:t>余额是账本汇总结果；冻结、解冻、扣除、销毁、补偿、返佣和冲正都必须有流水。</w:t>
      </w:r>
    </w:p>
    <w:p>
      <w:pPr>
        <w:pStyle w:val="00002c"/>
        <w:spacing w:after="60"/>
        <w:ind w:left="259" w:hanging="173"/>
      </w:pPr>
      <w:r>
        <w:rPr>
          <w:rFonts w:hint="eastAsia" w:ascii="Noto Sans CJK SC" w:hAnsi="Noto Sans CJK SC" w:eastAsia="Noto Sans CJK SC"/>
          <w:b w:val="0"/>
          <w:sz w:val="20"/>
        </w:rPr>
        <w:t>高风险后台操作必须记录操作人、时间、原因、前后状态和规则版本。</w:t>
      </w:r>
    </w:p>
    <w:p>
      <w:pPr>
        <w:pStyle w:val="000008"/>
      </w:pPr>
      <w:r>
        <w:rPr>
          <w:rFonts w:hint="eastAsia" w:ascii="Noto Sans CJK SC" w:hAnsi="Noto Sans CJK SC" w:eastAsia="Noto Sans CJK SC"/>
          <w:b w:val="0"/>
          <w:sz w:val="21"/>
        </w:rPr>
        <w:t>18. 开发前必须确认的规则</w:t>
      </w:r>
    </w:p>
    <w:tbl>
      <w:tblPr>
        <w:tblStyle w:val="000049"/>
        <w:tblW w:w="0" w:type="auto"/>
        <w:jc w:val="center"/>
        <w:tblLayout w:type="fixed"/>
        <w:tblLook w:firstRow="1" w:lastRow="0" w:firstColumn="1" w:lastColumn="0" w:noHBand="0" w:noVBand="1" w:val="04A0"/>
      </w:tblPr>
      <w:tblGrid>
        <w:gridCol w:w="3389"/>
        <w:gridCol w:w="3389"/>
        <w:gridCol w:w="3389"/>
      </w:tblGrid>
      <w:tr>
        <w:trPr>
          <w:cantSplit w:val="1"/>
          <w:tblHeader w:val="1"/>
        </w:trPr>
        <w:tc>
          <w:tcPr>
            <w:tcW w:w="2520" w:type="dxa"/>
            <w:shd w:fill="1F4E78"/>
            <w:tcMar>
              <w:top w:w="120" w:type="dxa"/>
              <w:left w:w="110" w:type="dxa"/>
              <w:bottom w:w="120" w:type="dxa"/>
              <w:right w:w="110" w:type="dxa"/>
            </w:tcMar>
            <w:vAlign w:val="center"/>
          </w:tcPr>
          <w:p>
            <w:pPr>
              <w:spacing w:after="0" w:line="252" w:lineRule="auto"/>
              <w:jc w:val="center"/>
            </w:pPr>
            <w:r>
              <w:rPr>
                <w:rFonts w:hint="eastAsia" w:ascii="Noto Sans CJK SC" w:hAnsi="Noto Sans CJK SC" w:eastAsia="Noto Sans CJK SC"/>
                <w:b w:val="1"/>
                <w:color w:val="FFFFFF"/>
                <w:sz w:val="16"/>
              </w:rPr>
              <w:t>待确认问题</w:t>
            </w:r>
          </w:p>
        </w:tc>
        <w:tc>
          <w:tcPr>
            <w:tcW w:w="3528" w:type="dxa"/>
            <w:shd w:fill="1F4E78"/>
            <w:tcMar>
              <w:top w:w="120" w:type="dxa"/>
              <w:left w:w="110" w:type="dxa"/>
              <w:bottom w:w="120" w:type="dxa"/>
              <w:right w:w="110" w:type="dxa"/>
            </w:tcMar>
            <w:vAlign w:val="center"/>
          </w:tcPr>
          <w:p>
            <w:pPr>
              <w:spacing w:after="0" w:line="252" w:lineRule="auto"/>
              <w:jc w:val="center"/>
            </w:pPr>
            <w:r>
              <w:rPr>
                <w:rFonts w:hint="eastAsia" w:ascii="Noto Sans CJK SC" w:hAnsi="Noto Sans CJK SC" w:eastAsia="Noto Sans CJK SC"/>
                <w:b w:val="1"/>
                <w:color w:val="FFFFFF"/>
                <w:sz w:val="16"/>
              </w:rPr>
              <w:t>当前状态</w:t>
            </w:r>
          </w:p>
        </w:tc>
        <w:tc>
          <w:tcPr>
            <w:tcW w:w="4392" w:type="dxa"/>
            <w:shd w:fill="1F4E78"/>
            <w:tcMar>
              <w:top w:w="120" w:type="dxa"/>
              <w:left w:w="110" w:type="dxa"/>
              <w:bottom w:w="120" w:type="dxa"/>
              <w:right w:w="110" w:type="dxa"/>
            </w:tcMar>
            <w:vAlign w:val="center"/>
          </w:tcPr>
          <w:p>
            <w:pPr>
              <w:spacing w:after="0" w:line="252" w:lineRule="auto"/>
              <w:jc w:val="center"/>
            </w:pPr>
            <w:r>
              <w:rPr>
                <w:rFonts w:hint="eastAsia" w:ascii="Noto Sans CJK SC" w:hAnsi="Noto Sans CJK SC" w:eastAsia="Noto Sans CJK SC"/>
                <w:b w:val="1"/>
                <w:color w:val="FFFFFF"/>
                <w:sz w:val="16"/>
              </w:rPr>
              <w:t>建议</w:t>
            </w:r>
          </w:p>
        </w:tc>
      </w:tr>
      <w:tr>
        <w:trPr>
          <w:cantSplit w:val="1"/>
        </w:trPr>
        <w:tc>
          <w:tcPr>
            <w:tcW w:w="2520"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6"/>
              </w:rPr>
              <w:t>短剧剧本具体权利属性</w:t>
            </w:r>
          </w:p>
        </w:tc>
        <w:tc>
          <w:tcPr>
            <w:tcW w:w="3528" w:type="dxa"/>
            <w:tcMar>
              <w:top w:w="100" w:type="dxa"/>
              <w:left w:w="110" w:type="dxa"/>
              <w:bottom w:w="100" w:type="dxa"/>
              <w:right w:w="110" w:type="dxa"/>
            </w:tcMar>
            <w:vAlign w:val="center"/>
          </w:tcPr>
          <w:p>
            <w:pPr>
              <w:spacing w:after="0" w:line="259" w:lineRule="auto"/>
              <w:jc w:val="left"/>
            </w:pPr>
            <w:r>
              <w:rPr>
                <w:rFonts w:hint="eastAsia" w:ascii="Noto Sans CJK SC" w:hAnsi="Noto Sans CJK SC" w:eastAsia="Noto Sans CJK SC"/>
                <w:b w:val="0"/>
                <w:color w:val="1F1F1F"/>
                <w:sz w:val="16"/>
              </w:rPr>
              <w:t>已确认交易标的是短剧剧本，但权利性质未定</w:t>
            </w:r>
          </w:p>
        </w:tc>
        <w:tc>
          <w:tcPr>
            <w:tcW w:w="4392"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6"/>
              </w:rPr>
              <w:t>优先形成书面权利定义和合同模板</w:t>
            </w:r>
          </w:p>
        </w:tc>
      </w:tr>
      <w:tr>
        <w:trPr>
          <w:cantSplit w:val="1"/>
        </w:trPr>
        <w:tc>
          <w:tcPr>
            <w:tcW w:w="2520"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6"/>
              </w:rPr>
              <w:t>卖出Drama</w:t>
            </w:r>
            <w:r>
              <w:rPr>
                <w:rFonts w:hint="eastAsia" w:ascii="Noto Sans CJK SC" w:hAnsi="Noto Sans CJK SC" w:eastAsia="Noto Sans CJK SC"/>
                <w:b w:val="0"/>
                <w:color w:val="1F1F1F"/>
                <w:sz w:val="16"/>
              </w:rPr>
              <w:t xml:space="preserve"> 70%还是85%</w:t>
            </w:r>
          </w:p>
        </w:tc>
        <w:tc>
          <w:tcPr>
            <w:tcW w:w="3528" w:type="dxa"/>
            <w:tcMar>
              <w:top w:w="100" w:type="dxa"/>
              <w:left w:w="110" w:type="dxa"/>
              <w:bottom w:w="100" w:type="dxa"/>
              <w:right w:w="110" w:type="dxa"/>
            </w:tcMar>
            <w:vAlign w:val="center"/>
          </w:tcPr>
          <w:p>
            <w:pPr>
              <w:spacing w:after="0" w:line="259" w:lineRule="auto"/>
              <w:jc w:val="left"/>
            </w:pPr>
            <w:r>
              <w:rPr>
                <w:rFonts w:hint="eastAsia" w:ascii="Noto Sans CJK SC" w:hAnsi="Noto Sans CJK SC" w:eastAsia="Noto Sans CJK SC"/>
                <w:b w:val="0"/>
                <w:color w:val="1F1F1F"/>
                <w:sz w:val="16"/>
              </w:rPr>
              <w:t>当前案例支持85%总占用、70%真实手续费</w:t>
            </w:r>
          </w:p>
        </w:tc>
        <w:tc>
          <w:tcPr>
            <w:tcW w:w="4392" w:type="dxa"/>
            <w:tcMar>
              <w:top w:w="100" w:type="dxa"/>
              <w:left w:w="110" w:type="dxa"/>
              <w:bottom w:w="100" w:type="dxa"/>
              <w:right w:w="110" w:type="dxa"/>
            </w:tcMar>
            <w:vAlign w:val="center"/>
          </w:tcPr>
          <w:p>
            <w:pPr>
              <w:spacing w:after="0" w:line="259" w:lineRule="auto"/>
              <w:jc w:val="left"/>
            </w:pPr>
            <w:r>
              <w:rPr>
                <w:rFonts w:hint="eastAsia" w:ascii="Noto Sans CJK SC" w:hAnsi="Noto Sans CJK SC" w:eastAsia="Noto Sans CJK SC"/>
                <w:b w:val="0"/>
                <w:color w:val="1F1F1F"/>
                <w:sz w:val="16"/>
              </w:rPr>
              <w:t>保留platform_fee与listing_dao_required两个字段</w:t>
            </w:r>
          </w:p>
        </w:tc>
      </w:tr>
      <w:tr>
        <w:trPr>
          <w:cantSplit w:val="1"/>
        </w:trPr>
        <w:tc>
          <w:tcPr>
            <w:tcW w:w="2520"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6"/>
              </w:rPr>
              <w:t>7天产品增长方式</w:t>
            </w:r>
          </w:p>
        </w:tc>
        <w:tc>
          <w:tcPr>
            <w:tcW w:w="3528"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6"/>
              </w:rPr>
              <w:t>历史案例指向每日复利</w:t>
            </w:r>
          </w:p>
        </w:tc>
        <w:tc>
          <w:tcPr>
            <w:tcW w:w="4392"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6"/>
              </w:rPr>
              <w:t>规则配置化并订单快照</w:t>
            </w:r>
          </w:p>
        </w:tc>
      </w:tr>
      <w:tr>
        <w:trPr>
          <w:cantSplit w:val="1"/>
        </w:trPr>
        <w:tc>
          <w:tcPr>
            <w:tcW w:w="2520"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6"/>
              </w:rPr>
              <w:t>积分最终用途</w:t>
            </w:r>
          </w:p>
        </w:tc>
        <w:tc>
          <w:tcPr>
            <w:tcW w:w="3528"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6"/>
              </w:rPr>
              <w:t>历史“基金/港股”口径已不适用</w:t>
            </w:r>
          </w:p>
        </w:tc>
        <w:tc>
          <w:tcPr>
            <w:tcW w:w="4392" w:type="dxa"/>
            <w:tcMar>
              <w:top w:w="100" w:type="dxa"/>
              <w:left w:w="110" w:type="dxa"/>
              <w:bottom w:w="100" w:type="dxa"/>
              <w:right w:w="110" w:type="dxa"/>
            </w:tcMar>
            <w:vAlign w:val="center"/>
          </w:tcPr>
          <w:p>
            <w:pPr>
              <w:spacing w:after="0" w:line="259" w:lineRule="auto"/>
              <w:jc w:val="left"/>
            </w:pPr>
            <w:r>
              <w:rPr>
                <w:rFonts w:hint="eastAsia" w:ascii="Noto Sans CJK SC" w:hAnsi="Noto Sans CJK SC" w:eastAsia="Noto Sans CJK SC"/>
                <w:b w:val="0"/>
                <w:color w:val="1F1F1F"/>
                <w:sz w:val="16"/>
              </w:rPr>
              <w:t>重构为短剧/IP/平台生态权益或明确兑换机制</w:t>
            </w:r>
          </w:p>
        </w:tc>
      </w:tr>
      <w:tr>
        <w:trPr>
          <w:cantSplit w:val="1"/>
        </w:trPr>
        <w:tc>
          <w:tcPr>
            <w:tcW w:w="2520"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6"/>
              </w:rPr>
              <w:t>手续费中的其他比例用途</w:t>
            </w:r>
          </w:p>
        </w:tc>
        <w:tc>
          <w:tcPr>
            <w:tcW w:w="3528" w:type="dxa"/>
            <w:tcMar>
              <w:top w:w="100" w:type="dxa"/>
              <w:left w:w="110" w:type="dxa"/>
              <w:bottom w:w="100" w:type="dxa"/>
              <w:right w:w="110" w:type="dxa"/>
            </w:tcMar>
            <w:vAlign w:val="center"/>
          </w:tcPr>
          <w:p>
            <w:pPr>
              <w:spacing w:after="0" w:line="259" w:lineRule="auto"/>
              <w:jc w:val="left"/>
            </w:pPr>
            <w:r>
              <w:rPr>
                <w:rFonts w:hint="eastAsia" w:ascii="Noto Sans CJK SC" w:hAnsi="Noto Sans CJK SC" w:eastAsia="Noto Sans CJK SC"/>
                <w:b w:val="0"/>
                <w:color w:val="1F1F1F"/>
                <w:sz w:val="16"/>
              </w:rPr>
              <w:t>历史资料存在保险基金/GIP池等不同表述</w:t>
            </w:r>
          </w:p>
        </w:tc>
        <w:tc>
          <w:tcPr>
            <w:tcW w:w="4392"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6"/>
              </w:rPr>
              <w:t>确认是否从原始手续费还是留存部分提取</w:t>
            </w:r>
          </w:p>
        </w:tc>
      </w:tr>
      <w:tr>
        <w:trPr>
          <w:cantSplit w:val="1"/>
        </w:trPr>
        <w:tc>
          <w:tcPr>
            <w:tcW w:w="2520"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6"/>
              </w:rPr>
              <w:t>300-1000预约Drama</w:t>
            </w:r>
          </w:p>
        </w:tc>
        <w:tc>
          <w:tcPr>
            <w:tcW w:w="3528"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6"/>
              </w:rPr>
              <w:t>暂无明确数值</w:t>
            </w:r>
          </w:p>
        </w:tc>
        <w:tc>
          <w:tcPr>
            <w:tcW w:w="4392"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6"/>
              </w:rPr>
              <w:t>确认免Drama</w:t>
            </w:r>
            <w:r>
              <w:rPr>
                <w:rFonts w:hint="eastAsia" w:ascii="Noto Sans CJK SC" w:hAnsi="Noto Sans CJK SC" w:eastAsia="Noto Sans CJK SC"/>
                <w:b w:val="0"/>
                <w:color w:val="1F1F1F"/>
                <w:sz w:val="16"/>
              </w:rPr>
              <w:t>或配置具体数值</w:t>
            </w:r>
          </w:p>
        </w:tc>
      </w:tr>
      <w:tr>
        <w:trPr>
          <w:cantSplit w:val="1"/>
        </w:trPr>
        <w:tc>
          <w:tcPr>
            <w:tcW w:w="2520"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6"/>
              </w:rPr>
              <w:t>抢购失败定义</w:t>
            </w:r>
          </w:p>
        </w:tc>
        <w:tc>
          <w:tcPr>
            <w:tcW w:w="3528"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6"/>
              </w:rPr>
              <w:t>仍存在歧义</w:t>
            </w:r>
          </w:p>
        </w:tc>
        <w:tc>
          <w:tcPr>
            <w:tcW w:w="4392"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6"/>
              </w:rPr>
              <w:t>建议限定为已预约但未匹配成功</w:t>
            </w:r>
          </w:p>
        </w:tc>
      </w:tr>
      <w:tr>
        <w:trPr>
          <w:cantSplit w:val="1"/>
        </w:trPr>
        <w:tc>
          <w:tcPr>
            <w:tcW w:w="2520"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6"/>
              </w:rPr>
              <w:t>未抢到后的Drama</w:t>
            </w:r>
          </w:p>
        </w:tc>
        <w:tc>
          <w:tcPr>
            <w:tcW w:w="3528"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6"/>
              </w:rPr>
              <w:t>当前建议自动解冻</w:t>
            </w:r>
          </w:p>
        </w:tc>
        <w:tc>
          <w:tcPr>
            <w:tcW w:w="4392"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6"/>
              </w:rPr>
              <w:t>形成正式规则</w:t>
            </w:r>
          </w:p>
        </w:tc>
      </w:tr>
      <w:tr>
        <w:trPr>
          <w:cantSplit w:val="1"/>
        </w:trPr>
        <w:tc>
          <w:tcPr>
            <w:tcW w:w="2520"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6"/>
              </w:rPr>
              <w:t>价格增长上限/交易期限</w:t>
            </w:r>
          </w:p>
        </w:tc>
        <w:tc>
          <w:tcPr>
            <w:tcW w:w="3528"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6"/>
              </w:rPr>
              <w:t>当前缺少硬上限</w:t>
            </w:r>
          </w:p>
        </w:tc>
        <w:tc>
          <w:tcPr>
            <w:tcW w:w="4392"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6"/>
              </w:rPr>
              <w:t>必须建立生命周期、价格或次数控制</w:t>
            </w:r>
          </w:p>
        </w:tc>
      </w:tr>
      <w:tr>
        <w:trPr>
          <w:cantSplit w:val="1"/>
        </w:trPr>
        <w:tc>
          <w:tcPr>
            <w:tcW w:w="2520"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6"/>
              </w:rPr>
              <w:t>真实短剧收益如何进入系统</w:t>
            </w:r>
          </w:p>
        </w:tc>
        <w:tc>
          <w:tcPr>
            <w:tcW w:w="3528"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6"/>
              </w:rPr>
              <w:t>当前没有完整规则</w:t>
            </w:r>
          </w:p>
        </w:tc>
        <w:tc>
          <w:tcPr>
            <w:tcW w:w="4392" w:type="dxa"/>
            <w:tcMar>
              <w:top w:w="100" w:type="dxa"/>
              <w:left w:w="110" w:type="dxa"/>
              <w:bottom w:w="100" w:type="dxa"/>
              <w:right w:w="110" w:type="dxa"/>
            </w:tcMar>
            <w:vAlign w:val="center"/>
          </w:tcPr>
          <w:p>
            <w:pPr>
              <w:spacing w:after="0" w:line="259" w:lineRule="auto"/>
              <w:jc w:val="left"/>
            </w:pPr>
            <w:r>
              <w:rPr>
                <w:rFonts w:hint="eastAsia" w:ascii="Noto Sans CJK SC" w:hAnsi="Noto Sans CJK SC" w:eastAsia="Noto Sans CJK SC"/>
                <w:b w:val="0"/>
                <w:color w:val="1F1F1F"/>
                <w:sz w:val="16"/>
              </w:rPr>
              <w:t>确定授权、制作、播放分账等真实现金流接口</w:t>
            </w:r>
          </w:p>
        </w:tc>
      </w:tr>
    </w:tbl>
    <w:p>
      <w:pPr>
        <w:spacing w:after="20"/>
      </w:pPr>
    </w:p>
    <w:p>
      <w:pPr>
        <w:pStyle w:val="000008"/>
      </w:pPr>
      <w:r>
        <w:rPr>
          <w:rFonts w:hint="eastAsia" w:ascii="Noto Sans CJK SC" w:hAnsi="Noto Sans CJK SC" w:eastAsia="Noto Sans CJK SC"/>
          <w:b w:val="0"/>
          <w:sz w:val="21"/>
        </w:rPr>
        <w:t>19. 合规与运营风险提示</w:t>
      </w:r>
    </w:p>
    <w:p>
      <w:pPr>
        <w:spacing w:after="120" w:line="307" w:lineRule="auto"/>
      </w:pPr>
      <w:r>
        <w:rPr>
          <w:rFonts w:hint="eastAsia" w:ascii="Noto Sans CJK SC" w:hAnsi="Noto Sans CJK SC" w:eastAsia="Noto Sans CJK SC"/>
          <w:b w:val="0"/>
          <w:sz w:val="21"/>
        </w:rPr>
        <w:t>该模式同时涉及预期/固定增长展示、多层代理返佣、P2P收付款、Drama</w:t>
      </w:r>
      <w:r>
        <w:rPr>
          <w:rFonts w:hint="eastAsia" w:ascii="Noto Sans CJK SC" w:hAnsi="Noto Sans CJK SC" w:eastAsia="Noto Sans CJK SC"/>
          <w:b w:val="0"/>
          <w:sz w:val="21"/>
        </w:rPr>
        <w:t>/GIP等数字化资产、短剧版权/收益权或平台权益的交易、用户资金冻结/扣除以及账户处罚。不同交易标的权利定义会对应不同法律与监管边界。</w:t>
      </w:r>
    </w:p>
    <w:p>
      <w:pPr>
        <w:pStyle w:val="00002c"/>
        <w:spacing w:after="60"/>
        <w:ind w:left="259" w:hanging="173"/>
      </w:pPr>
      <w:r>
        <w:rPr>
          <w:rFonts w:hint="eastAsia" w:ascii="Noto Sans CJK SC" w:hAnsi="Noto Sans CJK SC" w:eastAsia="Noto Sans CJK SC"/>
          <w:b w:val="0"/>
          <w:sz w:val="20"/>
        </w:rPr>
        <w:t>需要明确短剧剧本交易权益是否构成版权、收益权、投资性权益或其他合同权利。</w:t>
      </w:r>
    </w:p>
    <w:p>
      <w:pPr>
        <w:pStyle w:val="00002c"/>
        <w:spacing w:after="60"/>
        <w:ind w:left="259" w:hanging="173"/>
      </w:pPr>
      <w:r>
        <w:rPr>
          <w:rFonts w:hint="eastAsia" w:ascii="Noto Sans CJK SC" w:hAnsi="Noto Sans CJK SC" w:eastAsia="Noto Sans CJK SC"/>
          <w:b w:val="0"/>
          <w:sz w:val="20"/>
        </w:rPr>
        <w:t>需要评估固定增长/收益展示和多层推广机制在实际运营地区的适用要求。</w:t>
      </w:r>
    </w:p>
    <w:p>
      <w:pPr>
        <w:pStyle w:val="00002c"/>
        <w:spacing w:after="60"/>
        <w:ind w:left="259" w:hanging="173"/>
      </w:pPr>
      <w:r>
        <w:rPr>
          <w:rFonts w:hint="eastAsia" w:ascii="Noto Sans CJK SC" w:hAnsi="Noto Sans CJK SC" w:eastAsia="Noto Sans CJK SC"/>
          <w:b w:val="0"/>
          <w:sz w:val="20"/>
        </w:rPr>
        <w:t>需要评估P2P支付、Drama</w:t>
      </w:r>
      <w:r>
        <w:rPr>
          <w:rFonts w:hint="eastAsia" w:ascii="Noto Sans CJK SC" w:hAnsi="Noto Sans CJK SC" w:eastAsia="Noto Sans CJK SC"/>
          <w:b w:val="0"/>
          <w:sz w:val="20"/>
        </w:rPr>
        <w:t>/GIP、积分兑换和用户资金处理的支付及虚拟资产边界。</w:t>
      </w:r>
    </w:p>
    <w:p>
      <w:pPr>
        <w:pStyle w:val="00002c"/>
        <w:spacing w:after="60"/>
        <w:ind w:left="259" w:hanging="173"/>
      </w:pPr>
      <w:r>
        <w:rPr>
          <w:rFonts w:hint="eastAsia" w:ascii="Noto Sans CJK SC" w:hAnsi="Noto Sans CJK SC" w:eastAsia="Noto Sans CJK SC"/>
          <w:b w:val="0"/>
          <w:sz w:val="20"/>
        </w:rPr>
        <w:t>需要建立KYC/AML、消费者保护、退款/申诉、版权真实性审核和数据隐私机制。</w:t>
      </w:r>
    </w:p>
    <w:p>
      <w:pPr>
        <w:pStyle w:val="00002c"/>
        <w:spacing w:after="60"/>
        <w:ind w:left="259" w:hanging="173"/>
      </w:pPr>
      <w:r>
        <w:rPr>
          <w:rFonts w:hint="eastAsia" w:ascii="Noto Sans CJK SC" w:hAnsi="Noto Sans CJK SC" w:eastAsia="Noto Sans CJK SC"/>
          <w:b w:val="0"/>
          <w:sz w:val="20"/>
        </w:rPr>
        <w:t>任何“回本周期”“收益率”应以真实成交和实际兑换为前提，不应宣传为保证回报。</w:t>
      </w:r>
    </w:p>
    <w:tbl>
      <w:tblPr>
        <w:tblW w:w="0" w:type="auto"/>
        <w:jc w:val="center"/>
        <w:tblLayout w:type="fixed"/>
        <w:tblLook w:firstRow="1" w:lastRow="0" w:firstColumn="1" w:lastColumn="0" w:noHBand="0" w:noVBand="1" w:val="04A0"/>
      </w:tblPr>
      <w:tblGrid>
        <w:gridCol w:w="10166"/>
      </w:tblGrid>
      <w:tr>
        <w:trPr>
          <w:cantSplit w:val="1"/>
        </w:trPr>
        <w:tc>
          <w:tcPr>
            <w:tcW w:w="10166" w:type="dxa"/>
            <w:tcBorders>
              <w:left w:val="single" w:color="C55A11" w:sz="18"/>
            </w:tcBorders>
            <w:shd w:fill="FFF2CC"/>
            <w:tcMar>
              <w:top w:w="140" w:type="dxa"/>
              <w:left w:w="160" w:type="dxa"/>
              <w:bottom w:w="140" w:type="dxa"/>
              <w:right w:w="160" w:type="dxa"/>
            </w:tcMar>
          </w:tcPr>
          <w:p>
            <w:pPr>
              <w:keepNext w:val="1"/>
              <w:spacing w:after="80"/>
            </w:pPr>
            <w:r>
              <w:rPr>
                <w:rFonts w:hint="eastAsia" w:ascii="Noto Sans CJK SC" w:hAnsi="Noto Sans CJK SC" w:eastAsia="Noto Sans CJK SC"/>
                <w:b w:val="1"/>
                <w:color w:val="C55A11"/>
                <w:sz w:val="21"/>
              </w:rPr>
              <w:t>业务与技术边界</w:t>
            </w:r>
          </w:p>
          <w:p>
            <w:pPr>
              <w:spacing w:after="0" w:line="293" w:lineRule="auto"/>
            </w:pPr>
            <w:r>
              <w:rPr>
                <w:rFonts w:hint="eastAsia" w:ascii="Noto Sans CJK SC" w:hAnsi="Noto Sans CJK SC" w:eastAsia="Noto Sans CJK SC"/>
                <w:b w:val="0"/>
                <w:color w:val="1F1F1F"/>
                <w:sz w:val="19"/>
              </w:rPr>
              <w:t>技术可实现性不等于业务合规性。正式上线前，应由熟悉实际运营地区的法律、税务、支付和版权专业人士对最终规则和合同进行专项评估。</w:t>
            </w:r>
          </w:p>
        </w:tc>
      </w:tr>
    </w:tbl>
    <w:p>
      <w:pPr>
        <w:spacing w:after="20"/>
      </w:pPr>
    </w:p>
    <w:p>
      <w:pPr>
        <w:pStyle w:val="000008"/>
      </w:pPr>
      <w:r>
        <w:rPr>
          <w:rFonts w:hint="eastAsia" w:ascii="Noto Sans CJK SC" w:hAnsi="Noto Sans CJK SC" w:eastAsia="Noto Sans CJK SC"/>
          <w:b w:val="0"/>
          <w:sz w:val="21"/>
        </w:rPr>
        <w:t>20. 推荐落地路线图</w:t>
      </w:r>
    </w:p>
    <w:tbl>
      <w:tblPr>
        <w:tblStyle w:val="000049"/>
        <w:tblW w:w="0" w:type="auto"/>
        <w:jc w:val="center"/>
        <w:tblLayout w:type="fixed"/>
        <w:tblLook w:firstRow="1" w:lastRow="0" w:firstColumn="1" w:lastColumn="0" w:noHBand="0" w:noVBand="1" w:val="04A0"/>
      </w:tblPr>
      <w:tblGrid>
        <w:gridCol w:w="3389"/>
        <w:gridCol w:w="3389"/>
        <w:gridCol w:w="3389"/>
      </w:tblGrid>
      <w:tr>
        <w:trPr>
          <w:cantSplit w:val="1"/>
          <w:tblHeader w:val="1"/>
        </w:trPr>
        <w:tc>
          <w:tcPr>
            <w:tcW w:w="2088" w:type="dxa"/>
            <w:shd w:fill="1F4E78"/>
            <w:tcMar>
              <w:top w:w="120" w:type="dxa"/>
              <w:left w:w="110" w:type="dxa"/>
              <w:bottom w:w="120" w:type="dxa"/>
              <w:right w:w="110" w:type="dxa"/>
            </w:tcMar>
            <w:vAlign w:val="center"/>
          </w:tcPr>
          <w:p>
            <w:pPr>
              <w:spacing w:after="0" w:line="252" w:lineRule="auto"/>
              <w:jc w:val="center"/>
            </w:pPr>
            <w:r>
              <w:rPr>
                <w:rFonts w:hint="eastAsia" w:ascii="Noto Sans CJK SC" w:hAnsi="Noto Sans CJK SC" w:eastAsia="Noto Sans CJK SC"/>
                <w:b w:val="1"/>
                <w:color w:val="FFFFFF"/>
                <w:sz w:val="17"/>
              </w:rPr>
              <w:t>阶段</w:t>
            </w:r>
          </w:p>
        </w:tc>
        <w:tc>
          <w:tcPr>
            <w:tcW w:w="4320" w:type="dxa"/>
            <w:shd w:fill="1F4E78"/>
            <w:tcMar>
              <w:top w:w="120" w:type="dxa"/>
              <w:left w:w="110" w:type="dxa"/>
              <w:bottom w:w="120" w:type="dxa"/>
              <w:right w:w="110" w:type="dxa"/>
            </w:tcMar>
            <w:vAlign w:val="center"/>
          </w:tcPr>
          <w:p>
            <w:pPr>
              <w:spacing w:after="0" w:line="252" w:lineRule="auto"/>
              <w:jc w:val="center"/>
            </w:pPr>
            <w:r>
              <w:rPr>
                <w:rFonts w:hint="eastAsia" w:ascii="Noto Sans CJK SC" w:hAnsi="Noto Sans CJK SC" w:eastAsia="Noto Sans CJK SC"/>
                <w:b w:val="1"/>
                <w:color w:val="FFFFFF"/>
                <w:sz w:val="17"/>
              </w:rPr>
              <w:t>交付物</w:t>
            </w:r>
          </w:p>
        </w:tc>
        <w:tc>
          <w:tcPr>
            <w:tcW w:w="4104" w:type="dxa"/>
            <w:shd w:fill="1F4E78"/>
            <w:tcMar>
              <w:top w:w="120" w:type="dxa"/>
              <w:left w:w="110" w:type="dxa"/>
              <w:bottom w:w="120" w:type="dxa"/>
              <w:right w:w="110" w:type="dxa"/>
            </w:tcMar>
            <w:vAlign w:val="center"/>
          </w:tcPr>
          <w:p>
            <w:pPr>
              <w:spacing w:after="0" w:line="252" w:lineRule="auto"/>
              <w:jc w:val="center"/>
            </w:pPr>
            <w:r>
              <w:rPr>
                <w:rFonts w:hint="eastAsia" w:ascii="Noto Sans CJK SC" w:hAnsi="Noto Sans CJK SC" w:eastAsia="Noto Sans CJK SC"/>
                <w:b w:val="1"/>
                <w:color w:val="FFFFFF"/>
                <w:sz w:val="17"/>
              </w:rPr>
              <w:t>关键目标</w:t>
            </w:r>
          </w:p>
        </w:tc>
      </w:tr>
      <w:tr>
        <w:trPr>
          <w:cantSplit w:val="1"/>
        </w:trPr>
        <w:tc>
          <w:tcPr>
            <w:tcW w:w="2088"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阶段1：规则冻结</w:t>
            </w:r>
          </w:p>
        </w:tc>
        <w:tc>
          <w:tcPr>
            <w:tcW w:w="4320" w:type="dxa"/>
            <w:tcMar>
              <w:top w:w="100" w:type="dxa"/>
              <w:left w:w="110" w:type="dxa"/>
              <w:bottom w:w="100" w:type="dxa"/>
              <w:right w:w="110" w:type="dxa"/>
            </w:tcMar>
            <w:vAlign w:val="center"/>
          </w:tcPr>
          <w:p>
            <w:pPr>
              <w:spacing w:after="0" w:line="259" w:lineRule="auto"/>
              <w:jc w:val="left"/>
            </w:pPr>
            <w:r>
              <w:rPr>
                <w:rFonts w:hint="eastAsia" w:ascii="Noto Sans CJK SC" w:hAnsi="Noto Sans CJK SC" w:eastAsia="Noto Sans CJK SC"/>
                <w:b w:val="0"/>
                <w:color w:val="1F1F1F"/>
                <w:sz w:val="17"/>
              </w:rPr>
              <w:t>V2.0业务规则确认表、短剧权益定义、经济模型参数表</w:t>
            </w:r>
          </w:p>
        </w:tc>
        <w:tc>
          <w:tcPr>
            <w:tcW w:w="4104" w:type="dxa"/>
            <w:tcMar>
              <w:top w:w="100" w:type="dxa"/>
              <w:left w:w="110" w:type="dxa"/>
              <w:bottom w:w="100" w:type="dxa"/>
              <w:right w:w="110" w:type="dxa"/>
            </w:tcMar>
            <w:vAlign w:val="center"/>
          </w:tcPr>
          <w:p>
            <w:pPr>
              <w:spacing w:after="0" w:line="259" w:lineRule="auto"/>
              <w:jc w:val="left"/>
            </w:pPr>
            <w:r>
              <w:rPr>
                <w:rFonts w:hint="eastAsia" w:ascii="Noto Sans CJK SC" w:hAnsi="Noto Sans CJK SC" w:eastAsia="Noto Sans CJK SC"/>
                <w:b w:val="0"/>
                <w:color w:val="1F1F1F"/>
                <w:sz w:val="17"/>
              </w:rPr>
              <w:t>把所有资金比例、权利和状态形成唯一书面口径</w:t>
            </w:r>
          </w:p>
        </w:tc>
      </w:tr>
      <w:tr>
        <w:trPr>
          <w:cantSplit w:val="1"/>
        </w:trPr>
        <w:tc>
          <w:tcPr>
            <w:tcW w:w="2088"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阶段2：领域建模</w:t>
            </w:r>
          </w:p>
        </w:tc>
        <w:tc>
          <w:tcPr>
            <w:tcW w:w="4320" w:type="dxa"/>
            <w:tcMar>
              <w:top w:w="100" w:type="dxa"/>
              <w:left w:w="110" w:type="dxa"/>
              <w:bottom w:w="100" w:type="dxa"/>
              <w:right w:w="110" w:type="dxa"/>
            </w:tcMar>
            <w:vAlign w:val="center"/>
          </w:tcPr>
          <w:p>
            <w:pPr>
              <w:spacing w:after="0" w:line="259" w:lineRule="auto"/>
              <w:jc w:val="left"/>
            </w:pPr>
            <w:r>
              <w:rPr>
                <w:rFonts w:hint="eastAsia" w:ascii="Noto Sans CJK SC" w:hAnsi="Noto Sans CJK SC" w:eastAsia="Noto Sans CJK SC"/>
                <w:b w:val="0"/>
                <w:color w:val="1F1F1F"/>
                <w:sz w:val="17"/>
              </w:rPr>
              <w:t>数据库ER、剧本生命周期、代理树、钱包账本模型</w:t>
            </w:r>
          </w:p>
        </w:tc>
        <w:tc>
          <w:tcPr>
            <w:tcW w:w="4104"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先把数据和资金关系设计正确</w:t>
            </w:r>
          </w:p>
        </w:tc>
      </w:tr>
      <w:tr>
        <w:trPr>
          <w:cantSplit w:val="1"/>
        </w:trPr>
        <w:tc>
          <w:tcPr>
            <w:tcW w:w="2088"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阶段3：状态机/结算</w:t>
            </w:r>
          </w:p>
        </w:tc>
        <w:tc>
          <w:tcPr>
            <w:tcW w:w="4320" w:type="dxa"/>
            <w:tcMar>
              <w:top w:w="100" w:type="dxa"/>
              <w:left w:w="110" w:type="dxa"/>
              <w:bottom w:w="100" w:type="dxa"/>
              <w:right w:w="110" w:type="dxa"/>
            </w:tcMar>
            <w:vAlign w:val="center"/>
          </w:tcPr>
          <w:p>
            <w:pPr>
              <w:spacing w:after="0" w:line="259" w:lineRule="auto"/>
              <w:jc w:val="left"/>
            </w:pPr>
            <w:r>
              <w:rPr>
                <w:rFonts w:hint="eastAsia" w:ascii="Noto Sans CJK SC" w:hAnsi="Noto Sans CJK SC" w:eastAsia="Noto Sans CJK SC"/>
                <w:b w:val="0"/>
                <w:color w:val="1F1F1F"/>
                <w:sz w:val="17"/>
              </w:rPr>
              <w:t>预约/抢购/P2P/持仓/卖出状态机、结算公式、幂等方案</w:t>
            </w:r>
          </w:p>
        </w:tc>
        <w:tc>
          <w:tcPr>
            <w:tcW w:w="4104"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保证订单与财务闭环</w:t>
            </w:r>
          </w:p>
        </w:tc>
      </w:tr>
      <w:tr>
        <w:trPr>
          <w:cantSplit w:val="1"/>
        </w:trPr>
        <w:tc>
          <w:tcPr>
            <w:tcW w:w="2088"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阶段4：API与后台</w:t>
            </w:r>
          </w:p>
        </w:tc>
        <w:tc>
          <w:tcPr>
            <w:tcW w:w="4320" w:type="dxa"/>
            <w:tcMar>
              <w:top w:w="100" w:type="dxa"/>
              <w:left w:w="110" w:type="dxa"/>
              <w:bottom w:w="100" w:type="dxa"/>
              <w:right w:w="110" w:type="dxa"/>
            </w:tcMar>
            <w:vAlign w:val="center"/>
          </w:tcPr>
          <w:p>
            <w:pPr>
              <w:spacing w:after="0" w:line="259" w:lineRule="auto"/>
              <w:jc w:val="left"/>
            </w:pPr>
            <w:r>
              <w:rPr>
                <w:rFonts w:hint="eastAsia" w:ascii="Noto Sans CJK SC" w:hAnsi="Noto Sans CJK SC" w:eastAsia="Noto Sans CJK SC"/>
                <w:b w:val="0"/>
                <w:color w:val="1F1F1F"/>
                <w:sz w:val="17"/>
              </w:rPr>
              <w:t>API文档、管理后台、规则配置、审计日志</w:t>
            </w:r>
          </w:p>
        </w:tc>
        <w:tc>
          <w:tcPr>
            <w:tcW w:w="4104"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实现可运营和可配置</w:t>
            </w:r>
          </w:p>
        </w:tc>
      </w:tr>
      <w:tr>
        <w:trPr>
          <w:cantSplit w:val="1"/>
        </w:trPr>
        <w:tc>
          <w:tcPr>
            <w:tcW w:w="2088"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阶段5：前端产品</w:t>
            </w:r>
          </w:p>
        </w:tc>
        <w:tc>
          <w:tcPr>
            <w:tcW w:w="4320" w:type="dxa"/>
            <w:tcMar>
              <w:top w:w="100" w:type="dxa"/>
              <w:left w:w="110" w:type="dxa"/>
              <w:bottom w:w="100" w:type="dxa"/>
              <w:right w:w="110" w:type="dxa"/>
            </w:tcMar>
            <w:vAlign w:val="center"/>
          </w:tcPr>
          <w:p>
            <w:pPr>
              <w:spacing w:after="0" w:line="259" w:lineRule="auto"/>
              <w:jc w:val="left"/>
            </w:pPr>
            <w:r>
              <w:rPr>
                <w:rFonts w:hint="eastAsia" w:ascii="Noto Sans CJK SC" w:hAnsi="Noto Sans CJK SC" w:eastAsia="Noto Sans CJK SC"/>
                <w:b w:val="0"/>
                <w:color w:val="1F1F1F"/>
                <w:sz w:val="17"/>
              </w:rPr>
              <w:t>用户端、交易端、钱包、代理中心、剧本详情</w:t>
            </w:r>
          </w:p>
        </w:tc>
        <w:tc>
          <w:tcPr>
            <w:tcW w:w="4104"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基于稳定后端规则做体验</w:t>
            </w:r>
          </w:p>
        </w:tc>
      </w:tr>
      <w:tr>
        <w:trPr>
          <w:cantSplit w:val="1"/>
        </w:trPr>
        <w:tc>
          <w:tcPr>
            <w:tcW w:w="2088"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阶段6：经济压力测试</w:t>
            </w:r>
          </w:p>
        </w:tc>
        <w:tc>
          <w:tcPr>
            <w:tcW w:w="4320" w:type="dxa"/>
            <w:tcMar>
              <w:top w:w="100" w:type="dxa"/>
              <w:left w:w="110" w:type="dxa"/>
              <w:bottom w:w="100" w:type="dxa"/>
              <w:right w:w="110" w:type="dxa"/>
            </w:tcMar>
            <w:vAlign w:val="center"/>
          </w:tcPr>
          <w:p>
            <w:pPr>
              <w:spacing w:after="0" w:line="259" w:lineRule="auto"/>
              <w:jc w:val="left"/>
            </w:pPr>
            <w:r>
              <w:rPr>
                <w:rFonts w:hint="eastAsia" w:ascii="Noto Sans CJK SC" w:hAnsi="Noto Sans CJK SC" w:eastAsia="Noto Sans CJK SC"/>
                <w:b w:val="0"/>
                <w:color w:val="1F1F1F"/>
                <w:sz w:val="17"/>
              </w:rPr>
              <w:t>GMV、买卖供需、待售库存、积分负债、代理成本、现金流模型</w:t>
            </w:r>
          </w:p>
        </w:tc>
        <w:tc>
          <w:tcPr>
            <w:tcW w:w="4104"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验证市场在新增用户放缓时是否仍可持续</w:t>
            </w:r>
          </w:p>
        </w:tc>
      </w:tr>
    </w:tbl>
    <w:p>
      <w:pPr>
        <w:spacing w:after="20"/>
      </w:pPr>
    </w:p>
    <w:p>
      <w:pPr>
        <w:spacing w:after="120" w:line="307" w:lineRule="auto"/>
      </w:pPr>
      <w:r>
        <w:rPr>
          <w:rFonts w:hint="eastAsia" w:ascii="Noto Sans CJK SC" w:hAnsi="Noto Sans CJK SC" w:eastAsia="Noto Sans CJK SC"/>
          <w:b w:val="0"/>
          <w:sz w:val="21"/>
        </w:rPr>
        <w:t>推荐开发顺序：短剧剧本权益定义 → V2.0业务规则确认 → 数据库ER结构 → 订单状态机 → 钱包/结算账本 → 代理佣金 → API → 后台 → 前端 → 经济模型压力测试。</w:t>
      </w:r>
    </w:p>
    <w:p>
      <w:pPr>
        <w:pStyle w:val="000008"/>
      </w:pPr>
      <w:r>
        <w:rPr>
          <w:rFonts w:hint="eastAsia" w:ascii="Noto Sans CJK SC" w:hAnsi="Noto Sans CJK SC" w:eastAsia="Noto Sans CJK SC"/>
          <w:b w:val="0"/>
          <w:sz w:val="21"/>
        </w:rPr>
        <w:t>附录A：关键公式与案例速查</w:t>
      </w:r>
    </w:p>
    <w:tbl>
      <w:tblPr>
        <w:tblStyle w:val="000049"/>
        <w:tblW w:w="0" w:type="auto"/>
        <w:jc w:val="center"/>
        <w:tblLayout w:type="fixed"/>
        <w:tblLook w:firstRow="1" w:lastRow="0" w:firstColumn="1" w:lastColumn="0" w:noHBand="0" w:noVBand="1" w:val="04A0"/>
      </w:tblPr>
      <w:tblGrid>
        <w:gridCol w:w="3389"/>
        <w:gridCol w:w="3389"/>
        <w:gridCol w:w="3389"/>
      </w:tblGrid>
      <w:tr>
        <w:trPr>
          <w:cantSplit w:val="1"/>
          <w:tblHeader w:val="1"/>
        </w:trPr>
        <w:tc>
          <w:tcPr>
            <w:tcW w:w="4608" w:type="dxa"/>
            <w:shd w:fill="1F4E78"/>
            <w:tcMar>
              <w:top w:w="120" w:type="dxa"/>
              <w:left w:w="110" w:type="dxa"/>
              <w:bottom w:w="120" w:type="dxa"/>
              <w:right w:w="110" w:type="dxa"/>
            </w:tcMar>
            <w:vAlign w:val="center"/>
          </w:tcPr>
          <w:p>
            <w:pPr>
              <w:spacing w:after="0" w:line="252" w:lineRule="auto"/>
              <w:jc w:val="center"/>
            </w:pPr>
            <w:r>
              <w:rPr>
                <w:rFonts w:hint="eastAsia" w:ascii="Noto Sans CJK SC" w:hAnsi="Noto Sans CJK SC" w:eastAsia="Noto Sans CJK SC"/>
                <w:b w:val="1"/>
                <w:color w:val="FFFFFF"/>
                <w:sz w:val="17"/>
              </w:rPr>
              <w:t>公式/指标</w:t>
            </w:r>
          </w:p>
        </w:tc>
        <w:tc>
          <w:tcPr>
            <w:tcW w:w="2520" w:type="dxa"/>
            <w:shd w:fill="1F4E78"/>
            <w:tcMar>
              <w:top w:w="120" w:type="dxa"/>
              <w:left w:w="110" w:type="dxa"/>
              <w:bottom w:w="120" w:type="dxa"/>
              <w:right w:w="110" w:type="dxa"/>
            </w:tcMar>
            <w:vAlign w:val="center"/>
          </w:tcPr>
          <w:p>
            <w:pPr>
              <w:spacing w:after="0" w:line="252" w:lineRule="auto"/>
              <w:jc w:val="center"/>
            </w:pPr>
            <w:r>
              <w:rPr>
                <w:rFonts w:hint="eastAsia" w:ascii="Noto Sans CJK SC" w:hAnsi="Noto Sans CJK SC" w:eastAsia="Noto Sans CJK SC"/>
                <w:b w:val="1"/>
                <w:color w:val="FFFFFF"/>
                <w:sz w:val="17"/>
              </w:rPr>
              <w:t>普通区</w:t>
            </w:r>
          </w:p>
        </w:tc>
        <w:tc>
          <w:tcPr>
            <w:tcW w:w="2520" w:type="dxa"/>
            <w:shd w:fill="1F4E78"/>
            <w:tcMar>
              <w:top w:w="120" w:type="dxa"/>
              <w:left w:w="110" w:type="dxa"/>
              <w:bottom w:w="120" w:type="dxa"/>
              <w:right w:w="110" w:type="dxa"/>
            </w:tcMar>
            <w:vAlign w:val="center"/>
          </w:tcPr>
          <w:p>
            <w:pPr>
              <w:spacing w:after="0" w:line="252" w:lineRule="auto"/>
              <w:jc w:val="center"/>
            </w:pPr>
            <w:r>
              <w:rPr>
                <w:rFonts w:hint="eastAsia" w:ascii="Noto Sans CJK SC" w:hAnsi="Noto Sans CJK SC" w:eastAsia="Noto Sans CJK SC"/>
                <w:b w:val="1"/>
                <w:color w:val="FFFFFF"/>
                <w:sz w:val="17"/>
              </w:rPr>
              <w:t>创新区</w:t>
            </w:r>
          </w:p>
        </w:tc>
      </w:tr>
      <w:tr>
        <w:trPr>
          <w:cantSplit w:val="1"/>
        </w:trPr>
        <w:tc>
          <w:tcPr>
            <w:tcW w:w="4608"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日增长率</w:t>
            </w:r>
          </w:p>
        </w:tc>
        <w:tc>
          <w:tcPr>
            <w:tcW w:w="2520"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7"/>
              </w:rPr>
              <w:t>2%</w:t>
            </w:r>
          </w:p>
        </w:tc>
        <w:tc>
          <w:tcPr>
            <w:tcW w:w="2520"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7"/>
              </w:rPr>
              <w:t>3%</w:t>
            </w:r>
          </w:p>
        </w:tc>
      </w:tr>
      <w:tr>
        <w:trPr>
          <w:cantSplit w:val="1"/>
        </w:trPr>
        <w:tc>
          <w:tcPr>
            <w:tcW w:w="4608"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平台手续费率（相对本金）</w:t>
            </w:r>
          </w:p>
        </w:tc>
        <w:tc>
          <w:tcPr>
            <w:tcW w:w="2520"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7"/>
              </w:rPr>
              <w:t>1.40%</w:t>
            </w:r>
          </w:p>
        </w:tc>
        <w:tc>
          <w:tcPr>
            <w:tcW w:w="2520"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7"/>
              </w:rPr>
              <w:t>2.10%</w:t>
            </w:r>
          </w:p>
        </w:tc>
      </w:tr>
      <w:tr>
        <w:trPr>
          <w:cantSplit w:val="1"/>
        </w:trPr>
        <w:tc>
          <w:tcPr>
            <w:tcW w:w="4608"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现金收益率（相对本金）</w:t>
            </w:r>
          </w:p>
        </w:tc>
        <w:tc>
          <w:tcPr>
            <w:tcW w:w="2520"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7"/>
              </w:rPr>
              <w:t>0.30%</w:t>
            </w:r>
          </w:p>
        </w:tc>
        <w:tc>
          <w:tcPr>
            <w:tcW w:w="2520"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7"/>
              </w:rPr>
              <w:t>0.45%</w:t>
            </w:r>
          </w:p>
        </w:tc>
      </w:tr>
      <w:tr>
        <w:trPr>
          <w:cantSplit w:val="1"/>
        </w:trPr>
        <w:tc>
          <w:tcPr>
            <w:tcW w:w="4608"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积分价值率（相对本金）</w:t>
            </w:r>
          </w:p>
        </w:tc>
        <w:tc>
          <w:tcPr>
            <w:tcW w:w="2520"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7"/>
              </w:rPr>
              <w:t>0.30%</w:t>
            </w:r>
          </w:p>
        </w:tc>
        <w:tc>
          <w:tcPr>
            <w:tcW w:w="2520"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7"/>
              </w:rPr>
              <w:t>0.45%</w:t>
            </w:r>
          </w:p>
        </w:tc>
      </w:tr>
      <w:tr>
        <w:trPr>
          <w:cantSplit w:val="1"/>
        </w:trPr>
        <w:tc>
          <w:tcPr>
            <w:tcW w:w="4608"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综合经济价值率</w:t>
            </w:r>
          </w:p>
        </w:tc>
        <w:tc>
          <w:tcPr>
            <w:tcW w:w="2520"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7"/>
              </w:rPr>
              <w:t>0.60%</w:t>
            </w:r>
          </w:p>
        </w:tc>
        <w:tc>
          <w:tcPr>
            <w:tcW w:w="2520"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7"/>
              </w:rPr>
              <w:t>0.90%</w:t>
            </w:r>
          </w:p>
        </w:tc>
      </w:tr>
      <w:tr>
        <w:trPr>
          <w:cantSplit w:val="1"/>
        </w:trPr>
        <w:tc>
          <w:tcPr>
            <w:tcW w:w="4608"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卖出Drama</w:t>
            </w:r>
            <w:r>
              <w:rPr>
                <w:rFonts w:hint="eastAsia" w:ascii="Noto Sans CJK SC" w:hAnsi="Noto Sans CJK SC" w:eastAsia="Noto Sans CJK SC"/>
                <w:b w:val="0"/>
                <w:color w:val="1F1F1F"/>
                <w:sz w:val="17"/>
              </w:rPr>
              <w:t>总占用率（相对本金）</w:t>
            </w:r>
          </w:p>
        </w:tc>
        <w:tc>
          <w:tcPr>
            <w:tcW w:w="2520"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7"/>
              </w:rPr>
              <w:t>1.70%</w:t>
            </w:r>
          </w:p>
        </w:tc>
        <w:tc>
          <w:tcPr>
            <w:tcW w:w="2520"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7"/>
              </w:rPr>
              <w:t>2.55%</w:t>
            </w:r>
          </w:p>
        </w:tc>
      </w:tr>
      <w:tr>
        <w:trPr>
          <w:cantSplit w:val="1"/>
        </w:trPr>
        <w:tc>
          <w:tcPr>
            <w:tcW w:w="4608"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满10代返佣占手续费</w:t>
            </w:r>
          </w:p>
        </w:tc>
        <w:tc>
          <w:tcPr>
            <w:tcW w:w="2520"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7"/>
              </w:rPr>
              <w:t>35%</w:t>
            </w:r>
          </w:p>
        </w:tc>
        <w:tc>
          <w:tcPr>
            <w:tcW w:w="2520"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7"/>
              </w:rPr>
              <w:t>35%</w:t>
            </w:r>
          </w:p>
        </w:tc>
      </w:tr>
      <w:tr>
        <w:trPr>
          <w:cantSplit w:val="1"/>
        </w:trPr>
        <w:tc>
          <w:tcPr>
            <w:tcW w:w="4608"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手续费理论留存占本金</w:t>
            </w:r>
          </w:p>
        </w:tc>
        <w:tc>
          <w:tcPr>
            <w:tcW w:w="2520"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7"/>
              </w:rPr>
              <w:t>0.91%</w:t>
            </w:r>
          </w:p>
        </w:tc>
        <w:tc>
          <w:tcPr>
            <w:tcW w:w="2520"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7"/>
              </w:rPr>
              <w:t>1.365%</w:t>
            </w:r>
          </w:p>
        </w:tc>
      </w:tr>
      <w:tr>
        <w:trPr>
          <w:cantSplit w:val="1"/>
        </w:trPr>
        <w:tc>
          <w:tcPr>
            <w:tcW w:w="4608"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仅现金理论收益回本</w:t>
            </w:r>
          </w:p>
        </w:tc>
        <w:tc>
          <w:tcPr>
            <w:tcW w:w="2520"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约334有效日</w:t>
            </w:r>
          </w:p>
        </w:tc>
        <w:tc>
          <w:tcPr>
            <w:tcW w:w="2520"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约223有效日</w:t>
            </w:r>
          </w:p>
        </w:tc>
      </w:tr>
      <w:tr>
        <w:trPr>
          <w:cantSplit w:val="1"/>
        </w:trPr>
        <w:tc>
          <w:tcPr>
            <w:tcW w:w="4608"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含积分理论收益回本*</w:t>
            </w:r>
          </w:p>
        </w:tc>
        <w:tc>
          <w:tcPr>
            <w:tcW w:w="2520"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约167有效日</w:t>
            </w:r>
          </w:p>
        </w:tc>
        <w:tc>
          <w:tcPr>
            <w:tcW w:w="2520"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约112有效日</w:t>
            </w:r>
          </w:p>
        </w:tc>
      </w:tr>
    </w:tbl>
    <w:p>
      <w:pPr>
        <w:spacing w:after="20"/>
      </w:pPr>
    </w:p>
    <w:p>
      <w:pPr>
        <w:spacing w:after="120" w:line="307" w:lineRule="auto"/>
      </w:pPr>
      <w:r>
        <w:rPr>
          <w:rFonts w:hint="eastAsia" w:ascii="Noto Sans CJK SC" w:hAnsi="Noto Sans CJK SC" w:eastAsia="Noto Sans CJK SC"/>
          <w:b w:val="0"/>
          <w:sz w:val="21"/>
        </w:rPr>
        <w:t>*仅为静态数学测算，前提是积分按预期价值兑现且每天均完成真实成交。</w:t>
      </w:r>
    </w:p>
    <w:tbl>
      <w:tblPr>
        <w:tblStyle w:val="000049"/>
        <w:tblW w:w="0" w:type="auto"/>
        <w:jc w:val="center"/>
        <w:tblLayout w:type="fixed"/>
        <w:tblLook w:firstRow="1" w:lastRow="0" w:firstColumn="1" w:lastColumn="0" w:noHBand="0" w:noVBand="1" w:val="04A0"/>
      </w:tblPr>
      <w:tblGrid>
        <w:gridCol w:w="5083"/>
        <w:gridCol w:w="5083"/>
      </w:tblGrid>
      <w:tr>
        <w:trPr>
          <w:cantSplit w:val="1"/>
          <w:tblHeader w:val="1"/>
        </w:trPr>
        <w:tc>
          <w:tcPr>
            <w:tcW w:w="5616" w:type="dxa"/>
            <w:shd w:fill="1F4E78"/>
            <w:tcMar>
              <w:top w:w="120" w:type="dxa"/>
              <w:left w:w="110" w:type="dxa"/>
              <w:bottom w:w="120" w:type="dxa"/>
              <w:right w:w="110" w:type="dxa"/>
            </w:tcMar>
            <w:vAlign w:val="center"/>
          </w:tcPr>
          <w:p>
            <w:pPr>
              <w:spacing w:after="0" w:line="252" w:lineRule="auto"/>
              <w:jc w:val="center"/>
            </w:pPr>
            <w:r>
              <w:rPr>
                <w:rFonts w:hint="eastAsia" w:ascii="Noto Sans CJK SC" w:hAnsi="Noto Sans CJK SC" w:eastAsia="Noto Sans CJK SC"/>
                <w:b w:val="1"/>
                <w:color w:val="FFFFFF"/>
                <w:sz w:val="17"/>
              </w:rPr>
              <w:t>¥10,000创新区单日速查</w:t>
            </w:r>
          </w:p>
        </w:tc>
        <w:tc>
          <w:tcPr>
            <w:tcW w:w="4032" w:type="dxa"/>
            <w:shd w:fill="1F4E78"/>
            <w:tcMar>
              <w:top w:w="120" w:type="dxa"/>
              <w:left w:w="110" w:type="dxa"/>
              <w:bottom w:w="120" w:type="dxa"/>
              <w:right w:w="110" w:type="dxa"/>
            </w:tcMar>
            <w:vAlign w:val="center"/>
          </w:tcPr>
          <w:p>
            <w:pPr>
              <w:spacing w:after="0" w:line="252" w:lineRule="auto"/>
              <w:jc w:val="center"/>
            </w:pPr>
            <w:r>
              <w:rPr>
                <w:rFonts w:hint="eastAsia" w:ascii="Noto Sans CJK SC" w:hAnsi="Noto Sans CJK SC" w:eastAsia="Noto Sans CJK SC"/>
                <w:b w:val="1"/>
                <w:color w:val="FFFFFF"/>
                <w:sz w:val="17"/>
              </w:rPr>
              <w:t>金额/数量</w:t>
            </w:r>
          </w:p>
        </w:tc>
      </w:tr>
      <w:tr>
        <w:trPr>
          <w:cantSplit w:val="1"/>
        </w:trPr>
        <w:tc>
          <w:tcPr>
            <w:tcW w:w="5616"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买入本金</w:t>
            </w:r>
          </w:p>
        </w:tc>
        <w:tc>
          <w:tcPr>
            <w:tcW w:w="4032"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7"/>
              </w:rPr>
              <w:t>¥10,000</w:t>
            </w:r>
          </w:p>
        </w:tc>
      </w:tr>
      <w:tr>
        <w:trPr>
          <w:cantSplit w:val="1"/>
        </w:trPr>
        <w:tc>
          <w:tcPr>
            <w:tcW w:w="5616"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3%增长</w:t>
            </w:r>
          </w:p>
        </w:tc>
        <w:tc>
          <w:tcPr>
            <w:tcW w:w="4032"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7"/>
              </w:rPr>
              <w:t>¥300</w:t>
            </w:r>
          </w:p>
        </w:tc>
      </w:tr>
      <w:tr>
        <w:trPr>
          <w:cantSplit w:val="1"/>
        </w:trPr>
        <w:tc>
          <w:tcPr>
            <w:tcW w:w="5616"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下一成交价</w:t>
            </w:r>
          </w:p>
        </w:tc>
        <w:tc>
          <w:tcPr>
            <w:tcW w:w="4032"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7"/>
              </w:rPr>
              <w:t>¥10,300</w:t>
            </w:r>
          </w:p>
        </w:tc>
      </w:tr>
      <w:tr>
        <w:trPr>
          <w:cantSplit w:val="1"/>
        </w:trPr>
        <w:tc>
          <w:tcPr>
            <w:tcW w:w="5616"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平台手续费70%</w:t>
            </w:r>
          </w:p>
        </w:tc>
        <w:tc>
          <w:tcPr>
            <w:tcW w:w="4032"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7"/>
              </w:rPr>
              <w:t>210 Drama</w:t>
            </w:r>
          </w:p>
        </w:tc>
      </w:tr>
      <w:tr>
        <w:trPr>
          <w:cantSplit w:val="1"/>
        </w:trPr>
        <w:tc>
          <w:tcPr>
            <w:tcW w:w="5616"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积分转换15%</w:t>
            </w:r>
          </w:p>
        </w:tc>
        <w:tc>
          <w:tcPr>
            <w:tcW w:w="4032"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7"/>
              </w:rPr>
              <w:t>45 Drama</w:t>
            </w:r>
            <w:r>
              <w:rPr>
                <w:rFonts w:hint="eastAsia" w:ascii="Noto Sans CJK SC" w:hAnsi="Noto Sans CJK SC" w:eastAsia="Noto Sans CJK SC"/>
                <w:b w:val="0"/>
                <w:color w:val="1F1F1F"/>
                <w:sz w:val="17"/>
              </w:rPr>
              <w:t xml:space="preserve"> → 45积分</w:t>
            </w:r>
          </w:p>
        </w:tc>
      </w:tr>
      <w:tr>
        <w:trPr>
          <w:cantSplit w:val="1"/>
        </w:trPr>
        <w:tc>
          <w:tcPr>
            <w:tcW w:w="5616"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卖出Drama</w:t>
            </w:r>
            <w:r>
              <w:rPr>
                <w:rFonts w:hint="eastAsia" w:ascii="Noto Sans CJK SC" w:hAnsi="Noto Sans CJK SC" w:eastAsia="Noto Sans CJK SC"/>
                <w:b w:val="0"/>
                <w:color w:val="1F1F1F"/>
                <w:sz w:val="17"/>
              </w:rPr>
              <w:t>总占用85%</w:t>
            </w:r>
          </w:p>
        </w:tc>
        <w:tc>
          <w:tcPr>
            <w:tcW w:w="4032"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7"/>
              </w:rPr>
              <w:t>255 Drama</w:t>
            </w:r>
          </w:p>
        </w:tc>
      </w:tr>
      <w:tr>
        <w:trPr>
          <w:cantSplit w:val="1"/>
        </w:trPr>
        <w:tc>
          <w:tcPr>
            <w:tcW w:w="5616"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用户现金收益15%</w:t>
            </w:r>
          </w:p>
        </w:tc>
        <w:tc>
          <w:tcPr>
            <w:tcW w:w="4032"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7"/>
              </w:rPr>
              <w:t>¥45</w:t>
            </w:r>
          </w:p>
        </w:tc>
      </w:tr>
      <w:tr>
        <w:trPr>
          <w:cantSplit w:val="1"/>
        </w:trPr>
        <w:tc>
          <w:tcPr>
            <w:tcW w:w="5616"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第1-3代每级佣金</w:t>
            </w:r>
          </w:p>
        </w:tc>
        <w:tc>
          <w:tcPr>
            <w:tcW w:w="4032"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7"/>
              </w:rPr>
              <w:t>14.7 Drama</w:t>
            </w:r>
          </w:p>
        </w:tc>
      </w:tr>
      <w:tr>
        <w:trPr>
          <w:cantSplit w:val="1"/>
        </w:trPr>
        <w:tc>
          <w:tcPr>
            <w:tcW w:w="5616"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第4-10代每级佣金</w:t>
            </w:r>
          </w:p>
        </w:tc>
        <w:tc>
          <w:tcPr>
            <w:tcW w:w="4032"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7"/>
              </w:rPr>
              <w:t>4.2 Drama</w:t>
            </w:r>
          </w:p>
        </w:tc>
      </w:tr>
      <w:tr>
        <w:trPr>
          <w:cantSplit w:val="1"/>
        </w:trPr>
        <w:tc>
          <w:tcPr>
            <w:tcW w:w="5616"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满10代总佣金</w:t>
            </w:r>
          </w:p>
        </w:tc>
        <w:tc>
          <w:tcPr>
            <w:tcW w:w="4032"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7"/>
              </w:rPr>
              <w:t>73.5 Drama</w:t>
            </w:r>
          </w:p>
        </w:tc>
      </w:tr>
      <w:tr>
        <w:trPr>
          <w:cantSplit w:val="1"/>
        </w:trPr>
        <w:tc>
          <w:tcPr>
            <w:tcW w:w="5616" w:type="dxa"/>
            <w:tcMar>
              <w:top w:w="100" w:type="dxa"/>
              <w:left w:w="110" w:type="dxa"/>
              <w:bottom w:w="100" w:type="dxa"/>
              <w:right w:w="110" w:type="dxa"/>
            </w:tcMar>
            <w:vAlign w:val="center"/>
          </w:tcPr>
          <w:p>
            <w:pPr>
              <w:spacing w:after="0" w:line="259" w:lineRule="auto"/>
              <w:jc w:val="center"/>
            </w:pPr>
            <w:r>
              <w:rPr>
                <w:rFonts w:hint="eastAsia" w:ascii="Noto Sans CJK SC" w:hAnsi="Noto Sans CJK SC" w:eastAsia="Noto Sans CJK SC"/>
                <w:b w:val="0"/>
                <w:color w:val="1F1F1F"/>
                <w:sz w:val="17"/>
              </w:rPr>
              <w:t>手续费理论剩余</w:t>
            </w:r>
          </w:p>
        </w:tc>
        <w:tc>
          <w:tcPr>
            <w:tcW w:w="4032" w:type="dxa"/>
            <w:tcMar>
              <w:top w:w="100" w:type="dxa"/>
              <w:left w:w="110" w:type="dxa"/>
              <w:bottom w:w="100" w:type="dxa"/>
              <w:right w:w="110" w:type="dxa"/>
            </w:tcMar>
            <w:vAlign w:val="center"/>
          </w:tcPr>
          <w:p>
            <w:pPr>
              <w:spacing w:after="0" w:line="259" w:lineRule="auto"/>
              <w:jc w:val="center"/>
            </w:pPr>
            <w:r>
              <w:rPr>
                <w:rFonts w:ascii="Noto Sans CJK SC" w:hAnsi="Noto Sans CJK SC" w:eastAsia="Noto Sans CJK SC"/>
                <w:b w:val="0"/>
                <w:color w:val="1F1F1F"/>
                <w:sz w:val="17"/>
              </w:rPr>
              <w:t>136.5 Drama</w:t>
            </w:r>
          </w:p>
        </w:tc>
      </w:tr>
    </w:tbl>
    <w:p>
      <w:pPr>
        <w:spacing w:after="20"/>
      </w:pPr>
    </w:p>
    <w:tbl>
      <w:tblPr>
        <w:tblW w:w="0" w:type="auto"/>
        <w:jc w:val="center"/>
        <w:tblLayout w:type="fixed"/>
        <w:tblLook w:firstRow="1" w:lastRow="0" w:firstColumn="1" w:lastColumn="0" w:noHBand="0" w:noVBand="1" w:val="04A0"/>
      </w:tblPr>
      <w:tblGrid>
        <w:gridCol w:w="10166"/>
      </w:tblGrid>
      <w:tr>
        <w:trPr>
          <w:cantSplit w:val="1"/>
        </w:trPr>
        <w:tc>
          <w:tcPr>
            <w:tcW w:w="10166" w:type="dxa"/>
            <w:tcBorders>
              <w:left w:val="single" w:color="2F75B5" w:sz="18"/>
            </w:tcBorders>
            <w:shd w:fill="EAF2F8"/>
            <w:tcMar>
              <w:top w:w="140" w:type="dxa"/>
              <w:left w:w="160" w:type="dxa"/>
              <w:bottom w:w="140" w:type="dxa"/>
              <w:right w:w="160" w:type="dxa"/>
            </w:tcMar>
          </w:tcPr>
          <w:p>
            <w:pPr>
              <w:keepNext w:val="1"/>
              <w:spacing w:after="80"/>
            </w:pPr>
            <w:r>
              <w:rPr>
                <w:rFonts w:hint="eastAsia" w:ascii="Noto Sans CJK SC" w:hAnsi="Noto Sans CJK SC" w:eastAsia="Noto Sans CJK SC"/>
                <w:b w:val="1"/>
                <w:color w:val="2F75B5"/>
                <w:sz w:val="21"/>
              </w:rPr>
              <w:t>最终结论</w:t>
            </w:r>
          </w:p>
          <w:p>
            <w:pPr>
              <w:spacing w:after="0" w:line="293" w:lineRule="auto"/>
            </w:pPr>
            <w:r>
              <w:rPr>
                <w:rFonts w:hint="eastAsia" w:ascii="Noto Sans CJK SC" w:hAnsi="Noto Sans CJK SC" w:eastAsia="Noto Sans CJK SC"/>
                <w:b w:val="0"/>
                <w:color w:val="1F1F1F"/>
                <w:sz w:val="19"/>
              </w:rPr>
              <w:t>当前模型可以形成“短剧剧本发行—预约抢购—P2P持有与再交易—Drama</w:t>
            </w:r>
            <w:r>
              <w:rPr>
                <w:rFonts w:hint="eastAsia" w:ascii="Noto Sans CJK SC" w:hAnsi="Noto Sans CJK SC" w:eastAsia="Noto Sans CJK SC"/>
                <w:b w:val="0"/>
                <w:color w:val="1F1F1F"/>
                <w:sz w:val="19"/>
              </w:rPr>
              <w:t>结算—积分/GIP—代理返佣”的完整产品闭环；但经济可持续性的关键不在于2%/3%的账面增长，而在于真实短剧价值、买卖流动性、积分兑付成本、代理成本和外部短剧产业现金流。正式开发前应优先锁定交易权益定义和长期价格/生命周期机制。</w:t>
            </w:r>
          </w:p>
        </w:tc>
      </w:tr>
    </w:tbl>
    <w:p>
      <w:pPr>
        <w:spacing w:after="20"/>
      </w:pPr>
    </w:p>
    <w:sectPr w:rsidRPr="0006063C" w:rsidR="00FC693F" w:rsidSect="00034616">
      <w:footerReference r:id="rId4" w:type="default"/>
      <w:pgSz w:w="12240" w:h="15840"/>
      <w:pgMar w:top="979" w:right="1037" w:bottom="979" w:left="1037" w:header="720" w:footer="720" w:gutter="0"/>
      <w:cols w:space="720"/>
      <w:docGrid w:linePitch="360"/>
    </w:sectPr>
  </w:body>
</w:document>
</file>

<file path=word/fontTable.xml><?xml version="1.0" encoding="utf-8"?>
<w:fonts xmlns:w="http://schemas.openxmlformats.org/wordprocessingml/2006/main">
  <w:font w:name="ＭＳ 明朝">
    <w:panose1 w:val="00000000000000000000"/>
    <w:charset w:val="80" w:characterSet="ISO-8859-1"/>
    <w:family w:val="roman"/>
    <w:notTrueType w:val="1"/>
    <w:pitch w:val="fixed"/>
    <w:sig w:usb0="00000001" w:usb1="08070000" w:usb2="00000010" w:usb3="00000000" w:csb0="00020000" w:csb1="00000000"/>
  </w:font>
  <w:font w:name="Arial">
    <w:panose1 w:val="020B0604020202020204"/>
    <w:charset w:val="00" w:characterSet="ISO-8859-1"/>
    <w:family w:val="auto"/>
    <w:pitch w:val="variable"/>
    <w:sig w:usb0="E0002AFF" w:usb1="C0007843" w:usb2="00000009" w:usb3="00000000" w:csb0="000001FF" w:csb1="00000000"/>
  </w:font>
  <w:font w:name="ＭＳ ゴシック">
    <w:panose1 w:val="00000000000000000000"/>
    <w:charset w:val="80" w:characterSet="ISO-8859-1"/>
    <w:family w:val="modern"/>
    <w:notTrueType w:val="1"/>
    <w:pitch w:val="fixed"/>
    <w:sig w:usb0="00000001" w:usb1="08070000" w:usb2="00000010" w:usb3="00000000" w:csb0="00020000" w:csb1="00000000"/>
  </w:font>
  <w:font w:name="Symbol">
    <w:panose1 w:val="00000000000000000000"/>
    <w:charset w:val="02" w:characterSet="ISO-8859-1"/>
    <w:family w:val="auto"/>
    <w:pitch w:val="variable"/>
    <w:sig w:usb0="00000000" w:usb1="10000000" w:usb2="00000000" w:usb3="00000000" w:csb0="80000000" w:csb1="00000000"/>
  </w:font>
  <w:font w:name="Calibri">
    <w:panose1 w:val="020F0502020204030204"/>
    <w:charset w:val="00" w:characterSet="ISO-8859-1"/>
    <w:family w:val="auto"/>
    <w:pitch w:val="variable"/>
    <w:sig w:usb0="E10002FF" w:usb1="4000ACFF" w:usb2="00000009" w:usb3="00000000" w:csb0="0000019F" w:csb1="00000000"/>
  </w:font>
  <w:font w:name="Times New Roman">
    <w:panose1 w:val="02020603050405020304"/>
    <w:charset w:val="00" w:characterSet="ISO-8859-1"/>
    <w:family w:val="auto"/>
    <w:pitch w:val="variable"/>
    <w:sig w:usb0="E0002AFF" w:usb1="C0007841" w:usb2="00000009" w:usb3="00000000" w:csb0="000001FF" w:csb1="00000000"/>
  </w:font>
  <w:font w:name="Courier">
    <w:panose1 w:val="02000500000000000000"/>
    <w:charset w:val="00" w:characterSet="ISO-8859-1"/>
    <w:family w:val="auto"/>
    <w:pitch w:val="variable"/>
    <w:sig w:usb0="00000003" w:usb1="00000000" w:usb2="00000000" w:usb3="00000000" w:csb0="00000001" w:csb1="00000000"/>
  </w:font>
  <w:font w:name="Cambria">
    <w:panose1 w:val="02040503050406030204"/>
    <w:charset w:val="00" w:characterSet="ISO-8859-1"/>
    <w:family w:val="auto"/>
    <w:pitch w:val="variable"/>
    <w:sig w:usb0="E00002FF" w:usb1="400004FF" w:usb2="00000000" w:usb3="00000000" w:csb0="0000019F" w:csb1="00000000"/>
  </w:font>
</w:fonts>
</file>

<file path=word/footer1.xml><?xml version="1.0" encoding="utf-8"?>
<w:ftr xmlns:w="http://schemas.openxmlformats.org/wordprocessingml/2006/main">
  <w:p>
    <w:pPr>
      <w:pStyle w:val="000006"/>
      <w:jc w:val="center"/>
    </w:pPr>
    <w:r>
      <w:rPr>
        <w:rFonts w:ascii="Noto Sans CJK SC" w:hAnsi="Noto Sans CJK SC" w:eastAsia="Noto Sans CJK SC"/>
        <w:b w:val="0"/>
        <w:color w:val="666666"/>
        <w:sz w:val="16"/>
      </w:rPr>
      <w:t>DramaX</w:t>
    </w:r>
    <w:r>
      <w:rPr>
        <w:rFonts w:hint="eastAsia" w:ascii="Noto Sans CJK SC" w:hAnsi="Noto Sans CJK SC" w:eastAsia="Noto Sans CJK SC"/>
        <w:b w:val="0"/>
        <w:color w:val="666666"/>
        <w:sz w:val="16"/>
      </w:rPr>
      <w:t xml:space="preserve"> · 完整业务逻辑与经济模型 · V2.0    </w:t>
    </w:r>
    <w:r>
      <w:fldChar w:fldCharType="begin" w:fldLock="0" w:dirty="0"/>
    </w:r>
    <w:r>
      <w:instrText>PAGE</w:instrText>
    </w:r>
    <w:r>
      <w:fldChar w:fldCharType="separate" w:fldLock="0" w:dirty="0"/>
    </w:r>
    <w:r>
      <w:fldChar w:fldCharType="end" w:fldLock="0" w:dirty="0"/>
    </w:r>
  </w:p>
</w:ftr>
</file>

<file path=word/settings.xml><?xml version="1.0" encoding="utf-8"?>
<w:settings xmlns:w="http://schemas.openxmlformats.org/wordprocessingml/2006/main">
  <w:zoom w:val="bestFit"/>
  <w:proofState w:spelling="clean" w:grammar="clean"/>
  <w:defaultTabStop w:val="720"/>
  <w:characterSpacingControl w:val="doNotCompress"/>
  <w:savePreviewPicture w:val="1"/>
  <w:compat>
    <w:useFELayout w:val="1"/>
    <w:compatSetting w:name="doNotFlipMirrorIndents" w:uri="http://schemas.microsoft.com/office/word" w:val="1"/>
    <w:compatSetting w:name="overrideTableStyleFontSizeAndJustification" w:uri="http://schemas.microsoft.com/office/word" w:val="1"/>
    <w:compatSetting w:name="compatibilityMode" w:uri="http://schemas.microsoft.com/office/word" w:val="14"/>
    <w:compatSetting w:name="enableOpenTypeFeatures" w:uri="http://schemas.microsoft.com/office/word" w:val="1"/>
  </w:compat>
  <w:rsids>
    <w:rsidRoot w:val="00B47730"/>
    <w:rsid w:val="00034616"/>
    <w:rsid w:val="0006063C"/>
    <w:rsid w:val="0015074B"/>
    <w:rsid w:val="0029639D"/>
    <w:rsid w:val="00326F90"/>
    <w:rsid w:val="00AA1D8D"/>
    <w:rsid w:val="00B47730"/>
    <w:rsid w:val="00CB0664"/>
    <w:rsid w:val="00FC693F"/>
  </w:rsids>
  <w:themeFontLang w:val="en-US" w:eastAsia="ja-JP"/>
  <w:clrSchemeMapping w:bg1="light1" w:t1="dark1" w:bg2="light2" w:t2="dark2" w:accent1="accent1" w:accent2="accent2" w:accent3="accent3" w:accent4="accent4" w:accent5="accent5" w:accent6="accent6" w:hyperlink="hyperlink" w:followedHyperlink="followedHyperlink"/>
  <w:doNotAutoCompressPictures w:val="1"/>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Medium Grid 1" w:uiPriority="67" w:semiHidden="0" w:unhideWhenUsed="0"/>
    <w:lsdException w:name="Light Shading Accent 6" w:uiPriority="60" w:semiHidden="0" w:unhideWhenUsed="0"/>
    <w:lsdException w:name="Light Grid Accent 2" w:uiPriority="62" w:semiHidden="0" w:unhideWhenUsed="0"/>
    <w:lsdException w:name="Table Grid" w:uiPriority="59" w:semiHidden="0" w:unhideWhenUsed="0"/>
    <w:lsdException w:name="Medium Grid 2 Accent 5" w:uiPriority="68" w:semiHidden="0" w:unhideWhenUsed="0"/>
    <w:lsdException w:name="Medium Shading 1 Accent 3" w:uiPriority="63" w:semiHidden="0" w:unhideWhenUsed="0"/>
    <w:lsdException w:name="Medium Shading 1 Accent 1" w:uiPriority="63" w:semiHidden="0" w:unhideWhenUsed="0"/>
    <w:lsdException w:name="Colorful List Accent 4" w:uiPriority="72" w:semiHidden="0" w:unhideWhenUsed="0"/>
    <w:lsdException w:name="Light Shading Accent 3" w:uiPriority="60" w:semiHidden="0" w:unhideWhenUsed="0"/>
    <w:lsdException w:name="Light Shading Accent 4" w:uiPriority="60" w:semiHidden="0" w:unhideWhenUsed="0"/>
    <w:lsdException w:name="Medium Shading 1 Accent 6" w:uiPriority="63" w:semiHidden="0" w:unhideWhenUsed="0"/>
    <w:lsdException w:name="Colorful Grid Accent 5" w:uiPriority="73" w:semiHidden="0" w:unhideWhenUsed="0"/>
    <w:lsdException w:name="Medium Grid 2" w:uiPriority="68" w:semiHidden="0" w:unhideWhenUsed="0"/>
    <w:lsdException w:name="Medium Grid 3 Accent 6" w:uiPriority="69" w:semiHidden="0" w:unhideWhenUsed="0"/>
    <w:lsdException w:name="Title" w:uiPriority="10" w:semiHidden="0" w:unhideWhenUsed="0" w:qFormat="1"/>
    <w:lsdException w:name="Colorful Grid Accent 2" w:uiPriority="73" w:semiHidden="0" w:unhideWhenUsed="0"/>
    <w:lsdException w:name="Medium Shading 1 Accent 5" w:uiPriority="63" w:semiHidden="0" w:unhideWhenUsed="0"/>
    <w:lsdException w:name="Colorful List Accent 6" w:uiPriority="72" w:semiHidden="0" w:unhideWhenUsed="0"/>
    <w:lsdException w:name="heading 7" w:uiPriority="9" w:qFormat="1"/>
    <w:lsdException w:name="Light Grid Accent 6" w:uiPriority="62" w:semiHidden="0" w:unhideWhenUsed="0"/>
    <w:lsdException w:name="Default Paragraph Font" w:uiPriority="1"/>
    <w:lsdException w:name="Colorful Grid Accent 1" w:uiPriority="73" w:semiHidden="0" w:unhideWhenUsed="0"/>
    <w:lsdException w:name="Medium Grid 1 Accent 2" w:uiPriority="67" w:semiHidden="0" w:unhideWhenUsed="0"/>
    <w:lsdException w:name="Revision" w:unhideWhenUsed="0"/>
    <w:lsdException w:name="heading 1" w:uiPriority="9" w:semiHidden="0" w:unhideWhenUsed="0" w:qFormat="1"/>
    <w:lsdException w:name="toc 8" w:uiPriority="39"/>
    <w:lsdException w:name="Dark List Accent 1" w:uiPriority="70" w:semiHidden="0" w:unhideWhenUsed="0"/>
    <w:lsdException w:name="Book Title" w:uiPriority="33" w:semiHidden="0" w:unhideWhenUsed="0" w:qFormat="1"/>
    <w:lsdException w:name="No Spacing" w:uiPriority="1" w:semiHidden="0" w:unhideWhenUsed="0" w:qFormat="1"/>
    <w:lsdException w:name="Colorful Grid Accent 3" w:uiPriority="73" w:semiHidden="0" w:unhideWhenUsed="0"/>
    <w:lsdException w:name="Medium Grid 2 Accent 6" w:uiPriority="68" w:semiHidden="0" w:unhideWhenUsed="0"/>
    <w:lsdException w:name="Subtle Emphasis" w:uiPriority="19" w:semiHidden="0" w:unhideWhenUsed="0" w:qFormat="1"/>
    <w:lsdException w:name="Quote" w:uiPriority="29" w:semiHidden="0" w:unhideWhenUsed="0" w:qFormat="1"/>
    <w:lsdException w:name="toc 2" w:uiPriority="39"/>
    <w:lsdException w:name="Emphasis" w:uiPriority="20" w:semiHidden="0" w:unhideWhenUsed="0" w:qFormat="1"/>
    <w:lsdException w:name="Intense Reference" w:uiPriority="32" w:semiHidden="0" w:unhideWhenUsed="0" w:qFormat="1"/>
    <w:lsdException w:name="Medium List 2 Accent 6" w:uiPriority="66" w:semiHidden="0" w:unhideWhenUsed="0"/>
    <w:lsdException w:name="Medium List 1 Accent 4" w:uiPriority="65" w:semiHidden="0" w:unhideWhenUsed="0"/>
    <w:lsdException w:name="Colorful List Accent 5" w:uiPriority="72" w:semiHidden="0" w:unhideWhenUsed="0"/>
    <w:lsdException w:name="Medium Grid 1 Accent 1" w:uiPriority="67" w:semiHidden="0" w:unhideWhenUsed="0"/>
    <w:lsdException w:name="Medium Shading 2" w:uiPriority="64" w:semiHidden="0" w:unhideWhenUsed="0"/>
    <w:lsdException w:name="Dark List" w:uiPriority="70" w:semiHidden="0" w:unhideWhenUsed="0"/>
    <w:lsdException w:name="toc 4" w:uiPriority="39"/>
    <w:lsdException w:name="Light List Accent 3" w:uiPriority="61" w:semiHidden="0" w:unhideWhenUsed="0"/>
    <w:lsdException w:name="Light List Accent 2" w:uiPriority="61" w:semiHidden="0" w:unhideWhenUsed="0"/>
    <w:lsdException w:name="List Paragraph" w:uiPriority="34" w:semiHidden="0" w:unhideWhenUsed="0" w:qFormat="1"/>
    <w:lsdException w:name="heading 9" w:uiPriority="9" w:qFormat="1"/>
    <w:lsdException w:name="Medium List 1 Accent 2" w:uiPriority="65" w:semiHidden="0" w:unhideWhenUsed="0"/>
    <w:lsdException w:name="Medium List 2 Accent 1" w:uiPriority="66" w:semiHidden="0" w:unhideWhenUsed="0"/>
    <w:lsdException w:name="Light Grid Accent 4" w:uiPriority="62" w:semiHidden="0" w:unhideWhenUsed="0"/>
    <w:lsdException w:name="Medium List 2 Accent 2" w:uiPriority="66" w:semiHidden="0" w:unhideWhenUsed="0"/>
    <w:lsdException w:name="Medium Shading 1 Accent 2" w:uiPriority="63" w:semiHidden="0" w:unhideWhenUsed="0"/>
    <w:lsdException w:name="Subtle Reference" w:uiPriority="31" w:semiHidden="0" w:unhideWhenUsed="0" w:qFormat="1"/>
    <w:lsdException w:name="Medium List 2 Accent 5" w:uiPriority="66" w:semiHidden="0" w:unhideWhenUsed="0"/>
    <w:lsdException w:name="Intense Emphasis" w:uiPriority="21" w:semiHidden="0" w:unhideWhenUsed="0" w:qFormat="1"/>
    <w:lsdException w:name="Dark List Accent 5" w:uiPriority="70" w:semiHidden="0" w:unhideWhenUsed="0"/>
    <w:lsdException w:name="Subtitle" w:uiPriority="11" w:semiHidden="0" w:unhideWhenUsed="0" w:qFormat="1"/>
    <w:lsdException w:name="Light Grid Accent 3" w:uiPriority="62" w:semiHidden="0" w:unhideWhenUsed="0"/>
    <w:lsdException w:name="Light Shading" w:uiPriority="60" w:semiHidden="0" w:unhideWhenUsed="0"/>
    <w:lsdException w:name="Light Grid Accent 5" w:uiPriority="62" w:semiHidden="0" w:unhideWhenUsed="0"/>
    <w:lsdException w:name="Colorful Shading Accent 6" w:uiPriority="71" w:semiHidden="0" w:unhideWhenUsed="0"/>
    <w:lsdException w:name="Dark List Accent 6" w:uiPriority="70" w:semiHidden="0" w:unhideWhenUsed="0"/>
    <w:lsdException w:name="Colorful List" w:uiPriority="72" w:semiHidden="0" w:unhideWhenUsed="0"/>
    <w:lsdException w:name="Medium Grid 2 Accent 2" w:uiPriority="68" w:semiHidden="0" w:unhideWhenUsed="0"/>
    <w:lsdException w:name="Medium Grid 2 Accent 4" w:uiPriority="68" w:semiHidden="0" w:unhideWhenUsed="0"/>
    <w:lsdException w:name="Medium Grid 1 Accent 6" w:uiPriority="67" w:semiHidden="0" w:unhideWhenUsed="0"/>
    <w:lsdException w:name="Medium Grid 2 Accent 3" w:uiPriority="68" w:semiHidden="0" w:unhideWhenUsed="0"/>
    <w:lsdException w:name="Light Grid Accent 1" w:uiPriority="62" w:semiHidden="0" w:unhideWhenUsed="0"/>
    <w:lsdException w:name="TOC Heading" w:uiPriority="39" w:qFormat="1"/>
    <w:lsdException w:name="Medium Shading 1" w:uiPriority="63" w:semiHidden="0" w:unhideWhenUsed="0"/>
    <w:lsdException w:name="Light Shading Accent 2" w:uiPriority="60" w:semiHidden="0" w:unhideWhenUsed="0"/>
    <w:lsdException w:name="Placeholder Text" w:unhideWhenUsed="0"/>
    <w:lsdException w:name="Dark List Accent 3" w:uiPriority="70" w:semiHidden="0" w:unhideWhenUsed="0"/>
    <w:lsdException w:name="heading 5" w:uiPriority="9" w:qFormat="1"/>
    <w:lsdException w:name="Medium Grid 3 Accent 3" w:uiPriority="69" w:semiHidden="0" w:unhideWhenUsed="0"/>
    <w:lsdException w:name="Strong" w:uiPriority="22" w:semiHidden="0" w:unhideWhenUsed="0" w:qFormat="1"/>
    <w:lsdException w:name="Colorful Shading" w:uiPriority="71" w:semiHidden="0" w:unhideWhenUsed="0"/>
    <w:lsdException w:name="Light Grid" w:uiPriority="62" w:semiHidden="0" w:unhideWhenUsed="0"/>
    <w:lsdException w:name="Colorful Grid Accent 4" w:uiPriority="73" w:semiHidden="0" w:unhideWhenUsed="0"/>
    <w:lsdException w:name="Colorful List Accent 2" w:uiPriority="72" w:semiHidden="0" w:unhideWhenUsed="0"/>
    <w:lsdException w:name="Light Shading Accent 1" w:uiPriority="60" w:semiHidden="0" w:unhideWhenUsed="0"/>
    <w:lsdException w:name="Colorful Shading Accent 5" w:uiPriority="71" w:semiHidden="0" w:unhideWhenUsed="0"/>
    <w:lsdException w:name="Medium List 2 Accent 3" w:uiPriority="66" w:semiHidden="0" w:unhideWhenUsed="0"/>
    <w:lsdException w:name="Colorful Grid" w:uiPriority="73" w:semiHidden="0" w:unhideWhenUsed="0"/>
    <w:lsdException w:name="heading 3" w:uiPriority="9" w:qFormat="1"/>
    <w:lsdException w:name="Light List Accent 5" w:uiPriority="61" w:semiHidden="0" w:unhideWhenUsed="0"/>
    <w:lsdException w:name="Medium Grid 3 Accent 4" w:uiPriority="69" w:semiHidden="0" w:unhideWhenUsed="0"/>
    <w:lsdException w:name="Bibliography" w:uiPriority="37"/>
    <w:lsdException w:name="Light Shading Accent 5" w:uiPriority="60" w:semiHidden="0" w:unhideWhenUsed="0"/>
    <w:lsdException w:name="Medium Shading 2 Accent 4" w:uiPriority="64" w:semiHidden="0" w:unhideWhenUsed="0"/>
    <w:lsdException w:name="Colorful Shading Accent 2" w:uiPriority="71" w:semiHidden="0" w:unhideWhenUsed="0"/>
    <w:lsdException w:name="Dark List Accent 2" w:uiPriority="70" w:semiHidden="0" w:unhideWhenUsed="0"/>
    <w:lsdException w:name="Light List" w:uiPriority="61" w:semiHidden="0" w:unhideWhenUsed="0"/>
    <w:lsdException w:name="Medium Shading 2 Accent 2" w:uiPriority="64" w:semiHidden="0" w:unhideWhenUsed="0"/>
    <w:lsdException w:name="Medium Grid 3" w:uiPriority="69" w:semiHidden="0" w:unhideWhenUsed="0"/>
    <w:lsdException w:name="Normal" w:uiPriority="0" w:semiHidden="0" w:unhideWhenUsed="0" w:qFormat="1"/>
    <w:lsdException w:name="Medium List 1 Accent 5" w:uiPriority="65" w:semiHidden="0" w:unhideWhenUsed="0"/>
    <w:lsdException w:name="heading 4" w:uiPriority="9" w:qFormat="1"/>
    <w:lsdException w:name="Intense Quote" w:uiPriority="30" w:semiHidden="0" w:unhideWhenUsed="0" w:qFormat="1"/>
    <w:lsdException w:name="Medium Grid 1 Accent 5" w:uiPriority="67" w:semiHidden="0" w:unhideWhenUsed="0"/>
    <w:lsdException w:name="Medium List 2 Accent 4" w:uiPriority="66" w:semiHidden="0" w:unhideWhenUsed="0"/>
    <w:lsdException w:name="Medium Grid 1 Accent 3" w:uiPriority="67" w:semiHidden="0" w:unhideWhenUsed="0"/>
    <w:lsdException w:name="Light List Accent 1" w:uiPriority="61" w:semiHidden="0" w:unhideWhenUsed="0"/>
    <w:lsdException w:name="Medium Grid 3 Accent 2" w:uiPriority="69" w:semiHidden="0" w:unhideWhenUsed="0"/>
    <w:lsdException w:name="Medium Shading 1 Accent 4" w:uiPriority="63" w:semiHidden="0" w:unhideWhenUsed="0"/>
    <w:lsdException w:name="caption" w:uiPriority="35" w:qFormat="1"/>
    <w:lsdException w:name="Medium Shading 2 Accent 1" w:uiPriority="64" w:semiHidden="0" w:unhideWhenUsed="0"/>
    <w:lsdException w:name="heading 8" w:uiPriority="9" w:qFormat="1"/>
    <w:lsdException w:name="Medium Grid 1 Accent 4" w:uiPriority="67" w:semiHidden="0" w:unhideWhenUsed="0"/>
    <w:lsdException w:name="Colorful Shading Accent 1" w:uiPriority="71" w:semiHidden="0" w:unhideWhenUsed="0"/>
    <w:lsdException w:name="Colorful Shading Accent 4" w:uiPriority="71" w:semiHidden="0" w:unhideWhenUsed="0"/>
    <w:lsdException w:name="Medium List 1" w:uiPriority="65" w:semiHidden="0" w:unhideWhenUsed="0"/>
    <w:lsdException w:name="toc 7" w:uiPriority="39"/>
    <w:lsdException w:name="Medium Grid 2 Accent 1" w:uiPriority="68" w:semiHidden="0" w:unhideWhenUsed="0"/>
    <w:lsdException w:name="Light List Accent 4" w:uiPriority="61" w:semiHidden="0" w:unhideWhenUsed="0"/>
    <w:lsdException w:name="Medium List 1 Accent 6" w:uiPriority="65" w:semiHidden="0" w:unhideWhenUsed="0"/>
    <w:lsdException w:name="Medium Grid 3 Accent 1" w:uiPriority="69" w:semiHidden="0" w:unhideWhenUsed="0"/>
    <w:lsdException w:name="Colorful List Accent 3" w:uiPriority="72" w:semiHidden="0" w:unhideWhenUsed="0"/>
    <w:lsdException w:name="Medium Shading 2 Accent 5" w:uiPriority="64" w:semiHidden="0" w:unhideWhenUsed="0"/>
    <w:lsdException w:name="Medium Shading 2 Accent 3" w:uiPriority="64" w:semiHidden="0" w:unhideWhenUsed="0"/>
    <w:lsdException w:name="Colorful Grid Accent 6" w:uiPriority="73" w:semiHidden="0" w:unhideWhenUsed="0"/>
    <w:lsdException w:name="toc 3" w:uiPriority="39"/>
    <w:lsdException w:name="Medium Shading 2 Accent 6" w:uiPriority="64" w:semiHidden="0" w:unhideWhenUsed="0"/>
    <w:lsdException w:name="Dark List Accent 4" w:uiPriority="70" w:semiHidden="0" w:unhideWhenUsed="0"/>
    <w:lsdException w:name="heading 6" w:uiPriority="9" w:qFormat="1"/>
    <w:lsdException w:name="Medium Grid 3 Accent 5" w:uiPriority="69" w:semiHidden="0" w:unhideWhenUsed="0"/>
    <w:lsdException w:name="toc 5" w:uiPriority="39"/>
    <w:lsdException w:name="toc 1" w:uiPriority="39"/>
    <w:lsdException w:name="Medium List 2" w:uiPriority="66" w:semiHidden="0" w:unhideWhenUsed="0"/>
    <w:lsdException w:name="Colorful Shading Accent 3" w:uiPriority="71" w:semiHidden="0" w:unhideWhenUsed="0"/>
    <w:lsdException w:name="heading 2" w:uiPriority="9" w:qFormat="1"/>
    <w:lsdException w:name="Medium List 1 Accent 1" w:uiPriority="65" w:semiHidden="0" w:unhideWhenUsed="0"/>
    <w:lsdException w:name="toc 6" w:uiPriority="39"/>
    <w:lsdException w:name="toc 9" w:uiPriority="39"/>
    <w:lsdException w:name="Colorful List Accent 1" w:uiPriority="72" w:semiHidden="0" w:unhideWhenUsed="0"/>
    <w:lsdException w:name="Light List Accent 6" w:uiPriority="61" w:semiHidden="0" w:unhideWhenUsed="0"/>
    <w:lsdException w:name="Medium List 1 Accent 3" w:uiPriority="65" w:semiHidden="0" w:unhideWhenUsed="0"/>
  </w:latentStyles>
  <w:style w:type="table" w:styleId="000053">
    <w:name w:val="Light List Accent 2"/>
    <w:basedOn w:val="00001a"/>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shd w:val="clear" w:color="auto" w:fill="C0504D" w:themeFill="accent2"/>
      </w:tcPr>
    </w:tblStylePr>
    <w:tblStylePr w:type="lastRow">
      <w:pPr>
        <w:spacing w:before="0" w:after="0" w:line="240" w:lineRule="auto"/>
      </w:pPr>
      <w:rPr>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lastCol">
      <w:rPr>
        <w:b w:val="1"/>
        <w:bCs w:val="1"/>
      </w:r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firstCol">
      <w:rPr>
        <w:b w:val="1"/>
        <w:bCs w:val="1"/>
      </w:rPr>
    </w:tblStylePr>
  </w:style>
  <w:style w:type="table" w:styleId="000084">
    <w:name w:val="Medium Grid 2 Accent 2"/>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Vert">
      <w:tblPr/>
      <w:tcPr>
        <w:shd w:val="clear" w:color="auto" w:fill="DFA7A6" w:themeFill="accent2" w:themeFillTint="7F"/>
      </w:tcPr>
    </w:tblStylePr>
    <w:tblStylePr w:type="nwCell">
      <w:tblPr/>
      <w:tcPr>
        <w:shd w:val="clear" w:color="auto" w:fill="FFFFFF" w:themeFill="background1"/>
      </w:tcPr>
    </w:tblStylePr>
    <w:tblStylePr w:type="firstRow">
      <w:rPr>
        <w:b w:val="1"/>
        <w:bCs w:val="1"/>
        <w:color w:val="000000" w:themeColor="text1"/>
      </w:rPr>
      <w:tblPr/>
      <w:tcPr>
        <w:shd w:val="clear" w:color="auto" w:fill="F8EDED" w:themeFill="accent2" w:themeFillTint="19"/>
      </w:tcPr>
    </w:tblStylePr>
  </w:style>
  <w:style w:type="table" w:styleId="00006a">
    <w:name w:val="Medium Shading 2 Accent 4"/>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D8D8D8" w:themeFill="background1" w:themeFillShade="D8"/>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8064A2" w:themeFill="accent4"/>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style>
  <w:style w:type="table" w:styleId="00007e">
    <w:name w:val="Medium Grid 1 Accent 3"/>
    <w:basedOn w:val="00001a"/>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band1Vert">
      <w:tblPr/>
      <w:tcPr>
        <w:shd w:val="clear" w:color="auto" w:fill="CDDDAC" w:themeFill="accent3" w:themeFillTint="7F"/>
      </w:tcPr>
    </w:tblStylePr>
    <w:tblStylePr w:type="firstCol">
      <w:rPr>
        <w:b w:val="1"/>
        <w:bCs w:val="1"/>
      </w:rPr>
    </w:tblStylePr>
    <w:tblStylePr w:type="firstRow">
      <w:rPr>
        <w:b w:val="1"/>
        <w:bCs w:val="1"/>
      </w:rPr>
    </w:tblStylePr>
    <w:tblStylePr w:type="lastRow">
      <w:rPr>
        <w:b w:val="1"/>
        <w:bCs w:val="1"/>
      </w:rPr>
      <w:tblPr/>
      <w:tcPr>
        <w:tcBorders>
          <w:top w:val="single" w:color="B3CC82" w:themeColor="accent3" w:themeTint="BF" w:sz="18" w:space="0"/>
        </w:tcBorders>
      </w:tcPr>
    </w:tblStylePr>
    <w:tblStylePr w:type="band1Horz">
      <w:tblPr/>
      <w:tcPr>
        <w:shd w:val="clear" w:color="auto" w:fill="CDDDAC" w:themeFill="accent3" w:themeFillTint="7F"/>
      </w:tcPr>
    </w:tblStylePr>
    <w:tblStylePr w:type="lastCol">
      <w:rPr>
        <w:b w:val="1"/>
        <w:bCs w:val="1"/>
      </w:rPr>
    </w:tblStylePr>
  </w:style>
  <w:style w:type="table" w:styleId="000072">
    <w:name w:val="Medium List 1 Accent 5"/>
    <w:basedOn w:val="00001a"/>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lastRow">
      <w:rPr>
        <w:b w:val="1"/>
        <w:bCs w:val="1"/>
        <w:color w:val="1F497D" w:themeColor="text2"/>
      </w:rPr>
      <w:tblPr/>
      <w:tcPr>
        <w:tcBorders>
          <w:top w:val="single" w:color="4BACC6" w:themeColor="accent5" w:sz="8" w:space="0"/>
          <w:bottom w:val="single" w:color="4BACC6" w:themeColor="accent5" w:sz="8" w:space="0"/>
        </w:tcBorders>
      </w:tcPr>
    </w:tblStylePr>
    <w:tblStylePr w:type="band1Horz">
      <w:tblPr/>
      <w:tcPr>
        <w:shd w:val="clear" w:color="auto" w:fill="D2EAF1" w:themeFill="accent5" w:themeFillTint="3F"/>
      </w:tcPr>
    </w:tblStylePr>
    <w:tblStylePr w:type="lastCol">
      <w:rPr>
        <w:b w:val="1"/>
        <w:bCs w:val="1"/>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firstCol">
      <w:rPr>
        <w:b w:val="1"/>
        <w:bCs w:val="1"/>
      </w:rPr>
    </w:tblStylePr>
  </w:style>
  <w:style w:type="table" w:styleId="00006d">
    <w:name w:val="Medium List 1"/>
    <w:basedOn w:val="00001a"/>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lastRow">
      <w:rPr>
        <w:b w:val="1"/>
        <w:bCs w:val="1"/>
        <w:color w:val="1F497D" w:themeColor="text2"/>
      </w:rPr>
      <w:tblPr/>
      <w:tcPr>
        <w:tcBorders>
          <w:top w:val="single" w:color="000000" w:themeColor="text1" w:sz="8" w:space="0"/>
          <w:bottom w:val="single" w:color="000000" w:themeColor="text1" w:sz="8" w:space="0"/>
        </w:tcBorders>
      </w:tcPr>
    </w:tblStylePr>
    <w:tblStylePr w:type="band1Horz">
      <w:tblPr/>
      <w:tcPr>
        <w:shd w:val="clear" w:color="auto" w:fill="C0C0C0" w:themeFill="text1" w:themeFillTint="3F"/>
      </w:tcPr>
    </w:tblStylePr>
    <w:tblStylePr w:type="lastCol">
      <w:rPr>
        <w:b w:val="1"/>
        <w:bCs w:val="1"/>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firstCol">
      <w:rPr>
        <w:b w:val="1"/>
        <w:bCs w:val="1"/>
      </w:rPr>
    </w:tblStylePr>
    <w:tblStylePr w:type="firstRow">
      <w:rPr>
        <w:rFonts w:asciiTheme="majorHAnsi" w:hAnsiTheme="majorHAnsi" w:eastAsiaTheme="majorEastAsia" w:cstheme="majorBidi"/>
      </w:rPr>
      <w:tblPr/>
      <w:tcPr>
        <w:tcBorders>
          <w:top w:val="nil"/>
          <w:bottom w:val="single" w:color="000000" w:themeColor="text1" w:sz="8" w:space="0"/>
        </w:tcBorders>
      </w:tcPr>
    </w:tblStylePr>
  </w:style>
  <w:style w:type="table" w:styleId="000066">
    <w:name w:val="Medium Shading 2"/>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style>
  <w:style w:type="table" w:styleId="00004a">
    <w:name w:val="Light Shading"/>
    <w:basedOn w:val="00001a"/>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C0C0C0" w:themeFill="text1" w:themeFillTint="3F"/>
      </w:tcPr>
    </w:tblStylePr>
    <w:tblStylePr w:type="firstCol">
      <w:rPr>
        <w:b w:val="1"/>
        <w:bCs w:val="1"/>
      </w:rPr>
    </w:tblStylePr>
    <w:tblStylePr w:type="band1Horz">
      <w:tblPr/>
      <w:tcPr>
        <w:tcBorders>
          <w:left w:val="nil"/>
          <w:right w:val="nil"/>
          <w:insideH w:val="nil"/>
          <w:insideV w:val="nil"/>
        </w:tcBorders>
        <w:shd w:val="clear" w:color="auto" w:fill="C0C0C0" w:themeFill="text1" w:themeFillTint="3F"/>
      </w:tcPr>
    </w:tblStylePr>
    <w:tblStylePr w:type="fir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lastCol">
      <w:rPr>
        <w:b w:val="1"/>
        <w:bCs w:val="1"/>
      </w:rPr>
    </w:tblStylePr>
    <w:tblStylePr w:type="la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style>
  <w:style w:type="paragraph" w:styleId="000026">
    <w:name w:val="Body Text 3"/>
    <w:basedOn w:val="000002"/>
    <w:link w:val="000027"/>
    <w:uiPriority w:val="99"/>
    <w:unhideWhenUsed w:val="1"/>
    <w:rsid w:val="00AA1D8D"/>
    <w:pPr>
      <w:spacing w:after="120"/>
    </w:pPr>
    <w:rPr>
      <w:sz w:val="16"/>
      <w:szCs w:val="16"/>
    </w:rPr>
  </w:style>
  <w:style w:type="table" w:styleId="000054">
    <w:name w:val="Light List Accent 3"/>
    <w:basedOn w:val="00001a"/>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val="1"/>
        <w:bCs w:val="1"/>
      </w:r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firstRow">
      <w:pPr>
        <w:spacing w:before="0" w:after="0" w:line="240" w:lineRule="auto"/>
      </w:pPr>
      <w:rPr>
        <w:b w:val="1"/>
        <w:bCs w:val="1"/>
        <w:color w:val="FFFFFF" w:themeColor="background1"/>
      </w:rPr>
      <w:tblPr/>
      <w:tcPr>
        <w:shd w:val="clear" w:color="auto" w:fill="9BBB59" w:themeFill="accent3"/>
      </w:tcPr>
    </w:tblStylePr>
    <w:tblStylePr w:type="lastCol">
      <w:rPr>
        <w:b w:val="1"/>
        <w:bCs w:val="1"/>
      </w:rPr>
    </w:tblStylePr>
  </w:style>
  <w:style w:type="table" w:styleId="00008e">
    <w:name w:val="Medium Grid 3 Accent 5"/>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00009d">
    <w:name w:val="Colorful Shading Accent 6"/>
    <w:basedOn w:val="00001a"/>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nwCell">
      <w:rPr>
        <w:color w:val="000000" w:themeColor="text1"/>
      </w:rPr>
    </w:tblStylePr>
    <w:tblStylePr w:type="lastRow">
      <w:rPr>
        <w:b w:val="1"/>
        <w:bCs w:val="1"/>
        <w:color w:val="FFFFFF" w:themeColor="background1"/>
      </w:rPr>
      <w:tblPr/>
      <w:tcPr>
        <w:tcBorders>
          <w:top w:val="single" w:color="FFFFFF" w:themeColor="background1" w:sz="6" w:space="0"/>
        </w:tcBorders>
        <w:shd w:val="clear" w:color="auto" w:fill="B65608" w:themeFill="accent6" w:themeFillShade="99"/>
      </w:tcPr>
    </w:tblStylePr>
    <w:tblStylePr w:type="neCell">
      <w:rPr>
        <w:color w:val="000000" w:themeColor="text1"/>
      </w:rPr>
    </w:tblStylePr>
    <w:tblStylePr w:type="band1Vert">
      <w:tblPr/>
      <w:tcPr>
        <w:shd w:val="clear" w:color="auto" w:fill="FBD4B4" w:themeFill="accent6" w:themeFillTint="66"/>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band1Horz">
      <w:tblPr/>
      <w:tcPr>
        <w:shd w:val="clear" w:color="auto" w:fill="FBCAA2" w:themeFill="accent6" w:themeFillTint="7F"/>
      </w:tcPr>
    </w:tblStylePr>
    <w:tblStylePr w:type="firstRow">
      <w:rPr>
        <w:b w:val="1"/>
        <w:bCs w:val="1"/>
      </w:rPr>
      <w:tblPr/>
      <w:tcPr>
        <w:tcBorders>
          <w:top w:val="nil"/>
          <w:left w:val="nil"/>
          <w:bottom w:val="single" w:color="4BACC6" w:themeColor="accent5" w:sz="24" w:space="0"/>
          <w:right w:val="nil"/>
          <w:insideH w:val="nil"/>
          <w:insideV w:val="nil"/>
        </w:tcBorders>
        <w:shd w:val="clear" w:color="auto" w:fill="FFFFFF" w:themeFill="background1"/>
      </w:tcPr>
    </w:tblStylePr>
  </w:style>
  <w:style w:type="paragraph" w:styleId="00003e">
    <w:name w:val="caption"/>
    <w:basedOn w:val="000002"/>
    <w:next w:val="000002"/>
    <w:uiPriority w:val="35"/>
    <w:semiHidden w:val="1"/>
    <w:unhideWhenUsed w:val="1"/>
    <w:qFormat w:val="1"/>
    <w:rsid w:val="00FC693F"/>
    <w:pPr>
      <w:spacing w:line="240" w:lineRule="auto"/>
    </w:pPr>
    <w:rPr>
      <w:b w:val="1"/>
      <w:bCs w:val="1"/>
      <w:color w:val="4F81BD" w:themeColor="accent1"/>
      <w:sz w:val="18"/>
      <w:szCs w:val="18"/>
    </w:rPr>
  </w:style>
  <w:style w:type="paragraph" w:styleId="000029">
    <w:name w:val="List 2"/>
    <w:basedOn w:val="000002"/>
    <w:uiPriority w:val="99"/>
    <w:unhideWhenUsed w:val="1"/>
    <w:rsid w:val="00326F90"/>
    <w:pPr>
      <w:ind w:left="720" w:hanging="360"/>
      <w:contextualSpacing w:val="1"/>
    </w:pPr>
  </w:style>
  <w:style w:type="table" w:styleId="0000a2">
    <w:name w:val="Colorful List Accent 4"/>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val="1"/>
        <w:bCs w:val="1"/>
        <w:color w:val="FFFFFF" w:themeColor="background1"/>
      </w:rPr>
      <w:tblPr/>
      <w:tcPr>
        <w:tcBorders>
          <w:bottom w:val="single" w:color="FFFFFF" w:themeColor="background1" w:sz="12" w:space="0"/>
        </w:tcBorders>
        <w:shd w:val="clear" w:color="auto" w:fill="7E9C40" w:themeFill="accent3" w:themeFillShade="CC"/>
      </w:tcPr>
    </w:tblStylePr>
    <w:tblStylePr w:type="firstCol">
      <w:rPr>
        <w:b w:val="1"/>
        <w:bCs w:val="1"/>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lastRow">
      <w:rPr>
        <w:b w:val="1"/>
        <w:bCs w:val="1"/>
        <w:color w:val="7E9C40" w:themeColor="accent3" w:themeShade="CC"/>
      </w:rPr>
      <w:tblPr/>
      <w:tcPr>
        <w:tcBorders>
          <w:top w:val="single" w:color="000000" w:themeColor="text1" w:sz="12" w:space="0"/>
        </w:tcBorders>
        <w:shd w:val="clear" w:color="auto" w:fill="FFFFFF" w:themeFill="background1"/>
      </w:tcPr>
    </w:tblStylePr>
    <w:tblStylePr w:type="band1Horz">
      <w:tblPr/>
      <w:tcPr>
        <w:shd w:val="clear" w:color="auto" w:fill="E5DFEC" w:themeFill="accent4" w:themeFillTint="33"/>
      </w:tcPr>
    </w:tblStylePr>
    <w:tblStylePr w:type="lastCol">
      <w:rPr>
        <w:b w:val="1"/>
        <w:bCs w:val="1"/>
      </w:rPr>
    </w:tblStylePr>
  </w:style>
  <w:style w:type="table" w:styleId="000075">
    <w:name w:val="Medium List 2 Accent 1"/>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swCell">
      <w:tblPr/>
      <w:tcPr>
        <w:tcBorders>
          <w:top w:val="nil"/>
        </w:tcBorders>
      </w:tcPr>
    </w:tblStylePr>
    <w:tblStylePr w:type="nwCell">
      <w:tblPr/>
      <w:tcPr>
        <w:shd w:val="clear" w:color="auto" w:fill="FFFFFF" w:themeFill="background1"/>
      </w:tcPr>
    </w:tblStylePr>
    <w:tblStylePr w:type="band1Horz">
      <w:tblPr/>
      <w:tcPr>
        <w:tcBorders>
          <w:top w:val="nil"/>
          <w:bottom w:val="nil"/>
          <w:insideH w:val="nil"/>
          <w:insideV w:val="nil"/>
        </w:tcBorders>
        <w:shd w:val="clear" w:color="auto" w:fill="D3DFEE" w:themeFill="accent1" w:themeFillTint="3F"/>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style>
  <w:style w:type="table" w:styleId="00006f">
    <w:name w:val="Medium List 1 Accent 2"/>
    <w:basedOn w:val="00001a"/>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band1Vert">
      <w:tblPr/>
      <w:tcPr>
        <w:shd w:val="clear" w:color="auto" w:fill="EFD3D2" w:themeFill="accent2" w:themeFillTint="3F"/>
      </w:tcPr>
    </w:tblStylePr>
    <w:tblStylePr w:type="lastRow">
      <w:rPr>
        <w:b w:val="1"/>
        <w:bCs w:val="1"/>
        <w:color w:val="1F497D" w:themeColor="text2"/>
      </w:rPr>
      <w:tblPr/>
      <w:tcPr>
        <w:tcBorders>
          <w:top w:val="single" w:color="C0504D" w:themeColor="accent2" w:sz="8" w:space="0"/>
          <w:bottom w:val="single" w:color="C0504D" w:themeColor="accent2" w:sz="8" w:space="0"/>
        </w:tcBorders>
      </w:tcPr>
    </w:tblStylePr>
    <w:tblStylePr w:type="firstCol">
      <w:rPr>
        <w:b w:val="1"/>
        <w:bCs w:val="1"/>
      </w:rPr>
    </w:tblStylePr>
    <w:tblStylePr w:type="lastCol">
      <w:rPr>
        <w:b w:val="1"/>
        <w:bCs w:val="1"/>
      </w:rPr>
      <w:tblPr/>
      <w:tcPr>
        <w:tcBorders>
          <w:top w:val="single" w:color="C0504D" w:themeColor="accent2" w:sz="8" w:space="0"/>
          <w:bottom w:val="single" w:color="C0504D" w:themeColor="accent2" w:sz="8" w:space="0"/>
        </w:tcBorders>
      </w:tcPr>
    </w:tblStylePr>
    <w:tblStylePr w:type="band1Horz">
      <w:tblPr/>
      <w:tcPr>
        <w:shd w:val="clear" w:color="auto" w:fill="EFD3D2" w:themeFill="accent2" w:themeFillTint="3F"/>
      </w:tcPr>
    </w:tblStylePr>
    <w:tblStylePr w:type="firstRow">
      <w:rPr>
        <w:rFonts w:asciiTheme="majorHAnsi" w:hAnsiTheme="majorHAnsi" w:eastAsiaTheme="majorEastAsia" w:cstheme="majorBidi"/>
      </w:rPr>
      <w:tblPr/>
      <w:tcPr>
        <w:tcBorders>
          <w:top w:val="nil"/>
          <w:bottom w:val="single" w:color="C0504D" w:themeColor="accent2" w:sz="8" w:space="0"/>
        </w:tcBorders>
      </w:tcPr>
    </w:tblStylePr>
  </w:style>
  <w:style w:type="table" w:styleId="000076">
    <w:name w:val="Medium List 2 Accent 2"/>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swCell">
      <w:tblPr/>
      <w:tcPr>
        <w:tcBorders>
          <w:top w:val="nil"/>
        </w:tcBorders>
      </w:tcPr>
    </w:tblStylePr>
    <w:tblStylePr w:type="band1Vert">
      <w:tblPr/>
      <w:tcPr>
        <w:tcBorders>
          <w:left w:val="nil"/>
          <w:right w:val="nil"/>
          <w:insideH w:val="nil"/>
          <w:insideV w:val="nil"/>
        </w:tcBorders>
        <w:shd w:val="clear" w:color="auto" w:fill="EFD3D2" w:themeFill="accent2" w:themeFillTint="3F"/>
      </w:tcPr>
    </w:tblStylePr>
    <w:tblStylePr w:type="nwCell">
      <w:tblPr/>
      <w:tcPr>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EFD3D2" w:themeFill="accent2" w:themeFillTint="3F"/>
      </w:tcPr>
    </w:tblStyle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style>
  <w:style w:type="paragraph" w:styleId="00003c">
    <w:name w:val="Quote"/>
    <w:basedOn w:val="000002"/>
    <w:next w:val="000002"/>
    <w:link w:val="00003d"/>
    <w:uiPriority w:val="29"/>
    <w:qFormat w:val="1"/>
    <w:rsid w:val="00FC693F"/>
    <w:rPr>
      <w:i w:val="1"/>
      <w:iCs w:val="1"/>
      <w:color w:val="000000" w:themeColor="text1"/>
    </w:rPr>
  </w:style>
  <w:style w:type="character" w:styleId="000027" w:customStyle="1">
    <w:name w:val="Body Text 3 Char"/>
    <w:basedOn w:val="000005"/>
    <w:link w:val="000026"/>
    <w:uiPriority w:val="99"/>
    <w:rsid w:val="00AA1D8D"/>
    <w:rPr>
      <w:sz w:val="16"/>
      <w:szCs w:val="16"/>
    </w:rPr>
  </w:style>
  <w:style w:type="table" w:styleId="000061">
    <w:name w:val="Medium Shading 1 Accent 2"/>
    <w:basedOn w:val="00001a"/>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Col">
      <w:rPr>
        <w:b w:val="1"/>
        <w:bCs w:val="1"/>
      </w:rPr>
    </w:tblStylePr>
    <w:tblStylePr w:type="lastCol">
      <w:rPr>
        <w:b w:val="1"/>
        <w:bCs w:val="1"/>
      </w:rPr>
    </w:tblStylePr>
    <w:tblStylePr w:type="band2Horz">
      <w:tblPr/>
      <w:tcPr>
        <w:tcBorders>
          <w:insideH w:val="nil"/>
          <w:insideV w:val="nil"/>
        </w:tcBorders>
      </w:tcPr>
    </w:tblStylePr>
    <w:tblStylePr w:type="band1Horz">
      <w:tblPr/>
      <w:tcPr>
        <w:tcBorders>
          <w:insideH w:val="nil"/>
          <w:insideV w:val="nil"/>
        </w:tcBorders>
        <w:shd w:val="clear" w:color="auto" w:fill="EFD3D2" w:themeFill="accent2" w:themeFillTint="3F"/>
      </w:tcPr>
    </w:tblStylePr>
    <w:tblStylePr w:type="band1Vert">
      <w:tblPr/>
      <w:tcPr>
        <w:shd w:val="clear" w:color="auto" w:fill="EFD3D2" w:themeFill="accent2" w:themeFillTint="3F"/>
      </w:tcPr>
    </w:tblStylePr>
    <w:tblStylePr w:type="lastRow">
      <w:pPr>
        <w:spacing w:before="0" w:after="0" w:line="240" w:lineRule="auto"/>
      </w:pPr>
      <w:rPr>
        <w:b w:val="1"/>
        <w:bCs w:val="1"/>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Row">
      <w:pPr>
        <w:spacing w:before="0" w:after="0" w:line="240" w:lineRule="auto"/>
      </w:pPr>
      <w:rPr>
        <w:b w:val="1"/>
        <w:bCs w:val="1"/>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style>
  <w:style w:type="paragraph" w:styleId="000034">
    <w:name w:val="List Number 2"/>
    <w:basedOn w:val="000002"/>
    <w:uiPriority w:val="99"/>
    <w:unhideWhenUsed w:val="1"/>
    <w:rsid w:val="0029639D"/>
    <w:pPr>
      <w:numPr>
        <w:numId w:val="1"/>
      </w:numPr>
      <w:contextualSpacing w:val="1"/>
    </w:pPr>
  </w:style>
  <w:style w:type="table" w:styleId="000065">
    <w:name w:val="Medium Shading 1 Accent 6"/>
    <w:basedOn w:val="00001a"/>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Col">
      <w:rPr>
        <w:b w:val="1"/>
        <w:bCs w:val="1"/>
      </w:rPr>
    </w:tblStylePr>
    <w:tblStylePr w:type="band2Horz">
      <w:tblPr/>
      <w:tcPr>
        <w:tcBorders>
          <w:insideH w:val="nil"/>
          <w:insideV w:val="nil"/>
        </w:tcBorders>
      </w:tc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lastRow">
      <w:pPr>
        <w:spacing w:before="0" w:after="0" w:line="240" w:lineRule="auto"/>
      </w:pPr>
      <w:rPr>
        <w:b w:val="1"/>
        <w:bCs w:val="1"/>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val="1"/>
        <w:bCs w:val="1"/>
      </w:rPr>
    </w:tblStylePr>
  </w:style>
  <w:style w:type="table" w:styleId="000063">
    <w:name w:val="Medium Shading 1 Accent 4"/>
    <w:basedOn w:val="00001a"/>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Col">
      <w:rPr>
        <w:b w:val="1"/>
        <w:bCs w:val="1"/>
      </w:rPr>
    </w:tblStylePr>
    <w:tblStylePr w:type="lastCol">
      <w:rPr>
        <w:b w:val="1"/>
        <w:bCs w:val="1"/>
      </w:rPr>
    </w:tblStylePr>
    <w:tblStylePr w:type="band1Vert">
      <w:tblPr/>
      <w:tcPr>
        <w:shd w:val="clear" w:color="auto" w:fill="DFD8E8" w:themeFill="accent4" w:themeFillTint="3F"/>
      </w:tcPr>
    </w:tblStylePr>
    <w:tblStylePr w:type="band2Horz">
      <w:tblPr/>
      <w:tcPr>
        <w:tcBorders>
          <w:insideH w:val="nil"/>
          <w:insideV w:val="nil"/>
        </w:tcBorders>
      </w:tcPr>
    </w:tblStylePr>
    <w:tblStylePr w:type="band1Horz">
      <w:tblPr/>
      <w:tcPr>
        <w:tcBorders>
          <w:insideH w:val="nil"/>
          <w:insideV w:val="nil"/>
        </w:tcBorders>
        <w:shd w:val="clear" w:color="auto" w:fill="DFD8E8" w:themeFill="accent4" w:themeFillTint="3F"/>
      </w:tcPr>
    </w:tblStylePr>
    <w:tblStylePr w:type="lastRow">
      <w:pPr>
        <w:spacing w:before="0" w:after="0" w:line="240" w:lineRule="auto"/>
      </w:pPr>
      <w:rPr>
        <w:b w:val="1"/>
        <w:bCs w:val="1"/>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Row">
      <w:pPr>
        <w:spacing w:before="0" w:after="0" w:line="240" w:lineRule="auto"/>
      </w:pPr>
      <w:rPr>
        <w:b w:val="1"/>
        <w:bCs w:val="1"/>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style>
  <w:style w:type="table" w:styleId="00004d">
    <w:name w:val="Light Shading Accent 3"/>
    <w:basedOn w:val="00001a"/>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tblStylePr w:type="fir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val="1"/>
        <w:bCs w:val="1"/>
      </w:rPr>
    </w:tblStylePr>
    <w:tblStylePr w:type="la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lastCol">
      <w:rPr>
        <w:b w:val="1"/>
        <w:bCs w:val="1"/>
      </w:rPr>
    </w:tblStylePr>
  </w:style>
  <w:style w:type="table" w:styleId="000057">
    <w:name w:val="Light List Accent 6"/>
    <w:basedOn w:val="00001a"/>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firstCol">
      <w:rPr>
        <w:b w:val="1"/>
        <w:bCs w:val="1"/>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firstRow">
      <w:pPr>
        <w:spacing w:before="0" w:after="0" w:line="240" w:lineRule="auto"/>
      </w:pPr>
      <w:rPr>
        <w:b w:val="1"/>
        <w:bCs w:val="1"/>
        <w:color w:val="FFFFFF" w:themeColor="background1"/>
      </w:rPr>
      <w:tblPr/>
      <w:tcPr>
        <w:shd w:val="clear" w:color="auto" w:fill="F79646" w:themeFill="accent6"/>
      </w:tcPr>
    </w:tblStylePr>
    <w:tblStylePr w:type="lastRow">
      <w:pPr>
        <w:spacing w:before="0" w:after="0" w:line="240" w:lineRule="auto"/>
      </w:pPr>
      <w:rPr>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lastCol">
      <w:rPr>
        <w:b w:val="1"/>
        <w:bCs w:val="1"/>
      </w:rPr>
    </w:tblStylePr>
  </w:style>
  <w:style w:type="table" w:styleId="000080">
    <w:name w:val="Medium Grid 1 Accent 5"/>
    <w:basedOn w:val="00001a"/>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val="1"/>
        <w:bCs w:val="1"/>
      </w:rPr>
    </w:tblStylePr>
    <w:tblStylePr w:type="band1Vert">
      <w:tblPr/>
      <w:tcPr>
        <w:shd w:val="clear" w:color="auto" w:fill="A5D5E2" w:themeFill="accent5" w:themeFillTint="7F"/>
      </w:tcPr>
    </w:tblStylePr>
    <w:tblStylePr w:type="lastRow">
      <w:rPr>
        <w:b w:val="1"/>
        <w:bCs w:val="1"/>
      </w:rPr>
      <w:tblPr/>
      <w:tcPr>
        <w:tcBorders>
          <w:top w:val="single" w:color="78C0D4" w:themeColor="accent5" w:themeTint="BF" w:sz="18" w:space="0"/>
        </w:tcBorders>
      </w:tcPr>
    </w:tblStylePr>
    <w:tblStylePr w:type="lastCol">
      <w:rPr>
        <w:b w:val="1"/>
        <w:bCs w:val="1"/>
      </w:rPr>
    </w:tblStylePr>
    <w:tblStylePr w:type="band1Horz">
      <w:tblPr/>
      <w:tcPr>
        <w:shd w:val="clear" w:color="auto" w:fill="A5D5E2" w:themeFill="accent5" w:themeFillTint="7F"/>
      </w:tcPr>
    </w:tblStylePr>
    <w:tblStylePr w:type="firstCol">
      <w:rPr>
        <w:b w:val="1"/>
        <w:bCs w:val="1"/>
      </w:rPr>
    </w:tblStylePr>
  </w:style>
  <w:style w:type="character" w:styleId="000025" w:customStyle="1">
    <w:name w:val="Body Text 2 Char"/>
    <w:basedOn w:val="000005"/>
    <w:link w:val="000024"/>
    <w:uiPriority w:val="99"/>
    <w:rsid w:val="00AA1D8D"/>
  </w:style>
  <w:style w:type="table" w:styleId="000068">
    <w:name w:val="Medium Shading 2 Accent 2"/>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Col">
      <w:rPr>
        <w:b w:val="1"/>
        <w:bCs w:val="1"/>
        <w:color w:val="FFFFFF" w:themeColor="background1"/>
      </w:rPr>
      <w:tblPr/>
      <w:tcPr>
        <w:tcBorders>
          <w:left w:val="nil"/>
          <w:right w:val="nil"/>
          <w:insideH w:val="nil"/>
          <w:insideV w:val="nil"/>
        </w:tcBorders>
        <w:shd w:val="clear" w:color="auto" w:fill="C0504D" w:themeFill="accent2"/>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Horz">
      <w:tblPr/>
      <w:tcPr>
        <w:shd w:val="clear" w:color="auto" w:fill="D8D8D8" w:themeFill="background1" w:themeFillShade="D8"/>
      </w:tcPr>
    </w:tblStylePr>
  </w:style>
  <w:style w:type="character" w:styleId="000046">
    <w:name w:val="Intense Reference"/>
    <w:basedOn w:val="000005"/>
    <w:uiPriority w:val="32"/>
    <w:qFormat w:val="1"/>
    <w:rsid w:val="00FC693F"/>
    <w:rPr>
      <w:b w:val="1"/>
      <w:bCs w:val="1"/>
      <w:smallCaps w:val="1"/>
      <w:color w:val="C0504D" w:themeColor="accent2"/>
      <w:spacing w:val="5"/>
      <w:u w:val="single"/>
    </w:rPr>
  </w:style>
  <w:style w:type="paragraph" w:styleId="00001c">
    <w:name w:val="No Spacing"/>
    <w:uiPriority w:val="1"/>
    <w:qFormat w:val="1"/>
    <w:rsid w:val="00FC693F"/>
    <w:pPr>
      <w:spacing w:after="0" w:line="240" w:lineRule="auto"/>
    </w:pPr>
  </w:style>
  <w:style w:type="character" w:styleId="00001e" w:customStyle="1">
    <w:name w:val="Title Char"/>
    <w:basedOn w:val="000005"/>
    <w:link w:val="00001d"/>
    <w:uiPriority w:val="10"/>
    <w:rsid w:val="00FC693F"/>
    <w:rPr>
      <w:rFonts w:asciiTheme="majorHAnsi" w:hAnsiTheme="majorHAnsi" w:eastAsiaTheme="majorEastAsia" w:cstheme="majorBidi"/>
      <w:color w:val="17365D" w:themeColor="text2" w:themeShade="BF"/>
      <w:spacing w:val="5"/>
      <w:kern w:val="28"/>
      <w:sz w:val="52"/>
      <w:szCs w:val="52"/>
    </w:rPr>
  </w:style>
  <w:style w:type="table" w:styleId="000058">
    <w:name w:val="Light Grid"/>
    <w:basedOn w:val="00001a"/>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Col">
      <w:rPr>
        <w:rFonts w:asciiTheme="majorHAnsi" w:hAnsiTheme="majorHAnsi" w:eastAsiaTheme="majorEastAsia" w:cstheme="majorBidi"/>
        <w:b w:val="1"/>
        <w:bCs w:val="1"/>
      </w:rPr>
    </w:tblStylePr>
    <w:tblStylePr w:type="lastCol">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style>
  <w:style w:type="paragraph" w:styleId="000016">
    <w:name w:val="heading 8"/>
    <w:basedOn w:val="000002"/>
    <w:next w:val="000002"/>
    <w:link w:val="000017"/>
    <w:uiPriority w:val="9"/>
    <w:semiHidden w:val="1"/>
    <w:unhideWhenUsed w:val="1"/>
    <w:qFormat w:val="1"/>
    <w:rsid w:val="00FC693F"/>
    <w:pPr>
      <w:keepNext w:val="1"/>
      <w:keepLines w:val="1"/>
      <w:spacing w:before="200" w:after="0"/>
      <w:outlineLvl w:val="7"/>
    </w:pPr>
    <w:rPr>
      <w:rFonts w:asciiTheme="majorHAnsi" w:hAnsiTheme="majorHAnsi" w:eastAsiaTheme="majorEastAsia" w:cstheme="majorBidi"/>
      <w:color w:val="4F81BD" w:themeColor="accent1"/>
      <w:sz w:val="20"/>
      <w:szCs w:val="20"/>
    </w:rPr>
  </w:style>
  <w:style w:type="paragraph" w:styleId="000010">
    <w:name w:val="heading 5"/>
    <w:basedOn w:val="000002"/>
    <w:next w:val="000002"/>
    <w:link w:val="000011"/>
    <w:uiPriority w:val="9"/>
    <w:semiHidden w:val="1"/>
    <w:unhideWhenUsed w:val="1"/>
    <w:qFormat w:val="1"/>
    <w:rsid w:val="00FC693F"/>
    <w:pPr>
      <w:keepNext w:val="1"/>
      <w:keepLines w:val="1"/>
      <w:spacing w:before="200" w:after="0"/>
      <w:outlineLvl w:val="4"/>
    </w:pPr>
    <w:rPr>
      <w:rFonts w:asciiTheme="majorHAnsi" w:hAnsiTheme="majorHAnsi" w:eastAsiaTheme="majorEastAsia" w:cstheme="majorBidi"/>
      <w:color w:val="243F60" w:themeColor="accent1" w:themeShade="7F"/>
    </w:rPr>
  </w:style>
  <w:style w:type="table" w:styleId="000052">
    <w:name w:val="Light List Accent 1"/>
    <w:basedOn w:val="00001a"/>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firstCol">
      <w:rPr>
        <w:b w:val="1"/>
        <w:bCs w:val="1"/>
      </w:r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firstRow">
      <w:pPr>
        <w:spacing w:before="0" w:after="0" w:line="240" w:lineRule="auto"/>
      </w:pPr>
      <w:rPr>
        <w:b w:val="1"/>
        <w:bCs w:val="1"/>
        <w:color w:val="FFFFFF" w:themeColor="background1"/>
      </w:rPr>
      <w:tblPr/>
      <w:tcPr>
        <w:shd w:val="clear" w:color="auto" w:fill="4F81BD" w:themeFill="accent1"/>
      </w:tcPr>
    </w:tblStylePr>
    <w:tblStylePr w:type="lastRow">
      <w:pPr>
        <w:spacing w:before="0" w:after="0" w:line="240" w:lineRule="auto"/>
      </w:pPr>
      <w:rPr>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lastCol">
      <w:rPr>
        <w:b w:val="1"/>
        <w:bCs w:val="1"/>
      </w:rPr>
    </w:tblStylePr>
  </w:style>
  <w:style w:type="table" w:styleId="00005a">
    <w:name w:val="Light Grid Accent 2"/>
    <w:basedOn w:val="00001a"/>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Col">
      <w:rPr>
        <w:rFonts w:asciiTheme="majorHAnsi" w:hAnsiTheme="majorHAnsi" w:eastAsiaTheme="majorEastAsia" w:cstheme="majorBidi"/>
        <w:b w:val="1"/>
        <w:bCs w:val="1"/>
      </w:r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tblStylePr w:type="lastCol">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style>
  <w:style w:type="table" w:styleId="000050">
    <w:name w:val="Light Shading Accent 6"/>
    <w:basedOn w:val="00001a"/>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lastCol">
      <w:rPr>
        <w:b w:val="1"/>
        <w:bCs w:val="1"/>
      </w:rPr>
    </w:tblStylePr>
    <w:tblStylePr w:type="fir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band1Horz">
      <w:tblPr/>
      <w:tcPr>
        <w:tcBorders>
          <w:left w:val="nil"/>
          <w:right w:val="nil"/>
          <w:insideH w:val="nil"/>
          <w:insideV w:val="nil"/>
        </w:tcBorders>
        <w:shd w:val="clear" w:color="auto" w:fill="FDE4D0" w:themeFill="accent6" w:themeFillTint="3F"/>
      </w:tcPr>
    </w:tblStylePr>
    <w:tblStylePr w:type="band1Vert">
      <w:tblPr/>
      <w:tcPr>
        <w:tcBorders>
          <w:left w:val="nil"/>
          <w:right w:val="nil"/>
          <w:insideH w:val="nil"/>
          <w:insideV w:val="nil"/>
        </w:tcBorders>
        <w:shd w:val="clear" w:color="auto" w:fill="FDE4D0" w:themeFill="accent6" w:themeFillTint="3F"/>
      </w:tcPr>
    </w:tblStylePr>
    <w:tblStylePr w:type="firstCol">
      <w:rPr>
        <w:b w:val="1"/>
        <w:bCs w:val="1"/>
      </w:rPr>
    </w:tblStylePr>
    <w:tblStylePr w:type="la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style>
  <w:style w:type="table" w:styleId="00009a">
    <w:name w:val="Colorful Shading Accent 3"/>
    <w:basedOn w:val="00001a"/>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val="1"/>
        <w:bCs w:val="1"/>
      </w:rPr>
      <w:tblPr/>
      <w:tcPr>
        <w:tcBorders>
          <w:top w:val="nil"/>
          <w:left w:val="nil"/>
          <w:bottom w:val="single" w:color="8064A2" w:themeColor="accent4" w:sz="24" w:space="0"/>
          <w:right w:val="nil"/>
          <w:insideH w:val="nil"/>
          <w:insideV w:val="nil"/>
        </w:tcBorders>
        <w:shd w:val="clear" w:color="auto" w:fill="FFFFFF" w:themeFill="background1"/>
      </w:tcPr>
    </w:tblStylePr>
    <w:tblStylePr w:type="band1Vert">
      <w:tblPr/>
      <w:tcPr>
        <w:shd w:val="clear" w:color="auto" w:fill="D6E3BC" w:themeFill="accent3" w:themeFillTint="66"/>
      </w:tcPr>
    </w:tblStylePr>
    <w:tblStylePr w:type="lastRow">
      <w:rPr>
        <w:b w:val="1"/>
        <w:bCs w:val="1"/>
        <w:color w:val="FFFFFF" w:themeColor="background1"/>
      </w:rPr>
      <w:tblPr/>
      <w:tcPr>
        <w:tcBorders>
          <w:top w:val="single" w:color="FFFFFF" w:themeColor="background1" w:sz="6" w:space="0"/>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Horz">
      <w:tblPr/>
      <w:tcPr>
        <w:shd w:val="clear" w:color="auto" w:fill="CDDDAC" w:themeFill="accent3" w:themeFillTint="7F"/>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style>
  <w:style w:type="table" w:styleId="000090">
    <w:name w:val="Dark List"/>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band1Horz">
      <w:tblPr/>
      <w:tcPr>
        <w:tcBorders>
          <w:top w:val="nil"/>
          <w:left w:val="nil"/>
          <w:bottom w:val="nil"/>
          <w:right w:val="nil"/>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style>
  <w:style w:type="table" w:styleId="000077">
    <w:name w:val="Medium List 2 Accent 3"/>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E6EED5" w:themeFill="accent3" w:themeFillTint="3F"/>
      </w:tcPr>
    </w:tblStylePr>
    <w:tblStylePr w:type="band1Vert">
      <w:tblPr/>
      <w:tcPr>
        <w:tcBorders>
          <w:left w:val="nil"/>
          <w:right w:val="nil"/>
          <w:insideH w:val="nil"/>
          <w:insideV w:val="nil"/>
        </w:tcBorders>
        <w:shd w:val="clear" w:color="auto" w:fill="E6EED5" w:themeFill="accent3" w:themeFillTint="3F"/>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swCell">
      <w:tblPr/>
      <w:tcPr>
        <w:tcBorders>
          <w:top w:val="nil"/>
        </w:tcBorders>
      </w:tcPr>
    </w:tblStylePr>
    <w:tblStylePr w:type="nwCell">
      <w:tblPr/>
      <w:tcPr>
        <w:shd w:val="clear" w:color="auto" w:fill="FFFFFF" w:themeFill="background1"/>
      </w:tcPr>
    </w:tblStylePr>
  </w:style>
  <w:style w:type="table" w:styleId="000070">
    <w:name w:val="Medium List 1 Accent 3"/>
    <w:basedOn w:val="00001a"/>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band1Horz">
      <w:tblPr/>
      <w:tcPr>
        <w:shd w:val="clear" w:color="auto" w:fill="E6EED5" w:themeFill="accent3" w:themeFillTint="3F"/>
      </w:tcPr>
    </w:tblStylePr>
    <w:tblStylePr w:type="lastCol">
      <w:rPr>
        <w:b w:val="1"/>
        <w:bCs w:val="1"/>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lastRow">
      <w:rPr>
        <w:b w:val="1"/>
        <w:bCs w:val="1"/>
        <w:color w:val="1F497D" w:themeColor="text2"/>
      </w:rPr>
      <w:tblPr/>
      <w:tcPr>
        <w:tcBorders>
          <w:top w:val="single" w:color="9BBB59" w:themeColor="accent3" w:sz="8" w:space="0"/>
          <w:bottom w:val="single" w:color="9BBB59" w:themeColor="accent3" w:sz="8" w:space="0"/>
        </w:tcBorders>
      </w:tcPr>
    </w:tblStylePr>
    <w:tblStylePr w:type="firstCol">
      <w:rPr>
        <w:b w:val="1"/>
        <w:bCs w:val="1"/>
      </w:rPr>
    </w:tblStylePr>
  </w:style>
  <w:style w:type="table" w:styleId="000081">
    <w:name w:val="Medium Grid 1 Accent 6"/>
    <w:basedOn w:val="00001a"/>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band1Horz">
      <w:tblPr/>
      <w:tcPr>
        <w:shd w:val="clear" w:color="auto" w:fill="FBCAA2" w:themeFill="accent6" w:themeFillTint="7F"/>
      </w:tcPr>
    </w:tblStylePr>
    <w:tblStylePr w:type="lastCol">
      <w:rPr>
        <w:b w:val="1"/>
        <w:bCs w:val="1"/>
      </w:rPr>
    </w:tblStylePr>
    <w:tblStylePr w:type="band1Vert">
      <w:tblPr/>
      <w:tcPr>
        <w:shd w:val="clear" w:color="auto" w:fill="FBCAA2" w:themeFill="accent6" w:themeFillTint="7F"/>
      </w:tcPr>
    </w:tblStylePr>
    <w:tblStylePr w:type="lastRow">
      <w:rPr>
        <w:b w:val="1"/>
        <w:bCs w:val="1"/>
      </w:rPr>
      <w:tblPr/>
      <w:tcPr>
        <w:tcBorders>
          <w:top w:val="single" w:color="F9B074" w:themeColor="accent6" w:themeTint="BF" w:sz="18" w:space="0"/>
        </w:tcBorders>
      </w:tcPr>
    </w:tblStylePr>
    <w:tblStylePr w:type="firstCol">
      <w:rPr>
        <w:b w:val="1"/>
        <w:bCs w:val="1"/>
      </w:rPr>
    </w:tblStylePr>
    <w:tblStylePr w:type="firstRow">
      <w:rPr>
        <w:b w:val="1"/>
        <w:bCs w:val="1"/>
      </w:rPr>
    </w:tblStylePr>
  </w:style>
  <w:style w:type="table" w:styleId="000092">
    <w:name w:val="Dark List Accent 2"/>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Horz">
      <w:tblPr/>
      <w:tcPr>
        <w:tcBorders>
          <w:top w:val="nil"/>
          <w:left w:val="nil"/>
          <w:bottom w:val="nil"/>
          <w:right w:val="nil"/>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style>
  <w:style w:type="table" w:styleId="000098">
    <w:name w:val="Colorful Shading Accent 1"/>
    <w:basedOn w:val="00001a"/>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nwCell">
      <w:rPr>
        <w:color w:val="000000" w:themeColor="text1"/>
      </w:rPr>
    </w:tblStylePr>
    <w:tblStylePr w:type="lastRow">
      <w:rPr>
        <w:b w:val="1"/>
        <w:bCs w:val="1"/>
        <w:color w:val="FFFFFF" w:themeColor="background1"/>
      </w:rPr>
      <w:tblPr/>
      <w:tcPr>
        <w:tcBorders>
          <w:top w:val="single" w:color="FFFFFF" w:themeColor="background1" w:sz="6" w:space="0"/>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Horz">
      <w:tblPr/>
      <w:tcPr>
        <w:shd w:val="clear" w:color="auto" w:fill="A7BFDE" w:themeFill="accent1" w:themeFillTint="7F"/>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neCell">
      <w:rPr>
        <w:color w:val="000000" w:themeColor="text1"/>
      </w:r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band1Vert">
      <w:tblPr/>
      <w:tcPr>
        <w:shd w:val="clear" w:color="auto" w:fill="B8CCE4" w:themeFill="accent1" w:themeFillTint="66"/>
      </w:tcPr>
    </w:tblStylePr>
  </w:style>
  <w:style w:type="table" w:styleId="00009f">
    <w:name w:val="Colorful List Accent 1"/>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lastCol">
      <w:rPr>
        <w:b w:val="1"/>
        <w:bCs w:val="1"/>
      </w:rPr>
    </w:tblStylePr>
    <w:tblStylePr w:type="firstCol">
      <w:rPr>
        <w:b w:val="1"/>
        <w:bCs w:val="1"/>
      </w:rPr>
    </w:tblStylePr>
    <w:tblStylePr w:type="band1Horz">
      <w:tblPr/>
      <w:tcPr>
        <w:shd w:val="clear" w:color="auto" w:fill="DBE5F1" w:themeFill="accent1" w:themeFillTint="33"/>
      </w:tcPr>
    </w:tblStylePr>
    <w:tblStylePr w:type="band1Vert">
      <w:tblPr/>
      <w:tcPr>
        <w:tcBorders>
          <w:top w:val="nil"/>
          <w:left w:val="nil"/>
          <w:bottom w:val="nil"/>
          <w:right w:val="nil"/>
          <w:insideH w:val="nil"/>
          <w:insideV w:val="nil"/>
        </w:tcBorders>
        <w:shd w:val="clear" w:color="auto" w:fill="D3DFEE" w:themeFill="accent1" w:themeFillTint="3F"/>
      </w:tcPr>
    </w:tblStylePr>
  </w:style>
  <w:style w:type="character" w:styleId="000042" w:customStyle="1">
    <w:name w:val="Intense Quote Char"/>
    <w:basedOn w:val="000005"/>
    <w:link w:val="000041"/>
    <w:uiPriority w:val="30"/>
    <w:rsid w:val="00FC693F"/>
    <w:rPr>
      <w:b w:val="1"/>
      <w:bCs w:val="1"/>
      <w:i w:val="1"/>
      <w:iCs w:val="1"/>
      <w:color w:val="4F81BD" w:themeColor="accent1"/>
    </w:rPr>
  </w:style>
  <w:style w:type="character" w:styleId="000015" w:customStyle="1">
    <w:name w:val="Heading 7 Char"/>
    <w:basedOn w:val="000005"/>
    <w:link w:val="000014"/>
    <w:uiPriority w:val="9"/>
    <w:semiHidden w:val="1"/>
    <w:rsid w:val="00FC693F"/>
    <w:rPr>
      <w:rFonts w:asciiTheme="majorHAnsi" w:hAnsiTheme="majorHAnsi" w:eastAsiaTheme="majorEastAsia" w:cstheme="majorBidi"/>
      <w:i w:val="1"/>
      <w:iCs w:val="1"/>
      <w:color w:val="404040" w:themeColor="text1" w:themeTint="BF"/>
    </w:rPr>
  </w:style>
  <w:style w:type="paragraph" w:styleId="000014">
    <w:name w:val="heading 7"/>
    <w:basedOn w:val="000002"/>
    <w:next w:val="000002"/>
    <w:link w:val="000015"/>
    <w:uiPriority w:val="9"/>
    <w:semiHidden w:val="1"/>
    <w:unhideWhenUsed w:val="1"/>
    <w:qFormat w:val="1"/>
    <w:rsid w:val="00FC693F"/>
    <w:pPr>
      <w:keepNext w:val="1"/>
      <w:keepLines w:val="1"/>
      <w:spacing w:before="200" w:after="0"/>
      <w:outlineLvl w:val="6"/>
    </w:pPr>
    <w:rPr>
      <w:rFonts w:asciiTheme="majorHAnsi" w:hAnsiTheme="majorHAnsi" w:eastAsiaTheme="majorEastAsia" w:cstheme="majorBidi"/>
      <w:i w:val="1"/>
      <w:iCs w:val="1"/>
      <w:color w:val="404040" w:themeColor="text1" w:themeTint="BF"/>
    </w:rPr>
  </w:style>
  <w:style w:type="table" w:styleId="00005c">
    <w:name w:val="Light Grid Accent 4"/>
    <w:basedOn w:val="00001a"/>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lastCol">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val="1"/>
        <w:bCs w:val="1"/>
      </w:rPr>
    </w:tblStylePr>
  </w:style>
  <w:style w:type="paragraph" w:styleId="000008">
    <w:name w:val="heading 1"/>
    <w:basedOn w:val="000002"/>
    <w:next w:val="000002"/>
    <w:link w:val="000009"/>
    <w:uiPriority w:val="9"/>
    <w:qFormat w:val="1"/>
    <w:rsid w:val="00FC693F"/>
    <w:pPr>
      <w:keepNext w:val="1"/>
      <w:keepLines w:val="1"/>
      <w:spacing w:before="300" w:after="160"/>
      <w:outlineLvl w:val="0"/>
    </w:pPr>
    <w:rPr>
      <w:rFonts w:ascii="Noto Sans CJK SC" w:hAnsi="Noto Sans CJK SC" w:eastAsia="Noto Sans CJK SC" w:asciiTheme="majorHAnsi" w:hAnsiTheme="majorHAnsi" w:eastAsiaTheme="majorEastAsia" w:cstheme="majorBidi"/>
      <w:b w:val="1"/>
      <w:bCs w:val="1"/>
      <w:color w:val="1F4E78"/>
      <w:sz w:val="34"/>
      <w:szCs w:val="28"/>
    </w:rPr>
  </w:style>
  <w:style w:type="table" w:styleId="00005b">
    <w:name w:val="Light Grid Accent 3"/>
    <w:basedOn w:val="00001a"/>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Col">
      <w:rPr>
        <w:rFonts w:asciiTheme="majorHAnsi" w:hAnsiTheme="majorHAnsi" w:eastAsiaTheme="majorEastAsia" w:cstheme="majorBidi"/>
        <w:b w:val="1"/>
        <w:bCs w:val="1"/>
      </w:r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tblStylePr w:type="lastCol">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style>
  <w:style w:type="table" w:styleId="000088">
    <w:name w:val="Medium Grid 2 Accent 6"/>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firstRow">
      <w:rPr>
        <w:b w:val="1"/>
        <w:bCs w:val="1"/>
        <w:color w:val="000000" w:themeColor="text1"/>
      </w:rPr>
      <w:tblPr/>
      <w:tcPr>
        <w:shd w:val="clear" w:color="auto" w:fill="FEF4EC" w:themeFill="accent6" w:themeFillTint="19"/>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style>
  <w:style w:type="paragraph" w:styleId="00000e">
    <w:name w:val="heading 4"/>
    <w:basedOn w:val="000002"/>
    <w:next w:val="000002"/>
    <w:link w:val="00000f"/>
    <w:uiPriority w:val="9"/>
    <w:semiHidden w:val="1"/>
    <w:unhideWhenUsed w:val="1"/>
    <w:qFormat w:val="1"/>
    <w:rsid w:val="00FC693F"/>
    <w:pPr>
      <w:keepNext w:val="1"/>
      <w:keepLines w:val="1"/>
      <w:spacing w:before="200" w:after="0"/>
      <w:outlineLvl w:val="3"/>
    </w:pPr>
    <w:rPr>
      <w:rFonts w:asciiTheme="majorHAnsi" w:hAnsiTheme="majorHAnsi" w:eastAsiaTheme="majorEastAsia" w:cstheme="majorBidi"/>
      <w:b w:val="1"/>
      <w:bCs w:val="1"/>
      <w:i w:val="1"/>
      <w:iCs w:val="1"/>
      <w:color w:val="4F81BD" w:themeColor="accent1"/>
    </w:rPr>
  </w:style>
  <w:style w:type="paragraph" w:styleId="000030">
    <w:name w:val="List Bullet 3"/>
    <w:basedOn w:val="000002"/>
    <w:uiPriority w:val="99"/>
    <w:unhideWhenUsed w:val="1"/>
    <w:rsid w:val="00326F90"/>
    <w:pPr>
      <w:numPr>
        <w:numId w:val="2"/>
      </w:numPr>
      <w:contextualSpacing w:val="1"/>
    </w:pPr>
  </w:style>
  <w:style w:type="table" w:styleId="000059">
    <w:name w:val="Light Grid Accent 1"/>
    <w:basedOn w:val="00001a"/>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Col">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firstCol">
      <w:rPr>
        <w:rFonts w:asciiTheme="majorHAnsi" w:hAnsiTheme="majorHAnsi" w:eastAsiaTheme="majorEastAsia" w:cstheme="majorBidi"/>
        <w:b w:val="1"/>
        <w:bCs w:val="1"/>
      </w:rPr>
    </w:tblStylePr>
    <w:tblStylePr w:type="lastRow">
      <w:pPr>
        <w:spacing w:before="0" w:after="0" w:line="240" w:lineRule="auto"/>
      </w:pPr>
      <w:rPr>
        <w:rFonts w:asciiTheme="majorHAnsi" w:hAnsiTheme="majorHAnsi" w:eastAsiaTheme="majorEastAsia" w:cstheme="majorBidi"/>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style>
  <w:style w:type="paragraph" w:styleId="0000ac" w:customStyle="1">
    <w:name w:val="Small Note"/>
    <w:pPr>
      <w:spacing w:after="80" w:line="283" w:lineRule="auto"/>
    </w:pPr>
    <w:rPr>
      <w:rFonts w:ascii="Noto Sans CJK SC" w:hAnsi="Noto Sans CJK SC" w:eastAsia="Noto Sans CJK SC"/>
      <w:color w:val="666666"/>
      <w:sz w:val="17"/>
    </w:rPr>
  </w:style>
  <w:style w:type="table" w:styleId="000060">
    <w:name w:val="Medium Shading 1 Accent 1"/>
    <w:basedOn w:val="00001a"/>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band1Vert">
      <w:tblPr/>
      <w:tcPr>
        <w:shd w:val="clear" w:color="auto" w:fill="D3DFEE" w:themeFill="accent1" w:themeFillTint="3F"/>
      </w:tcPr>
    </w:tblStylePr>
    <w:tblStylePr w:type="band2Horz">
      <w:tblPr/>
      <w:tcPr>
        <w:tcBorders>
          <w:insideH w:val="nil"/>
          <w:insideV w:val="nil"/>
        </w:tcBorders>
      </w:tcPr>
    </w:tblStylePr>
    <w:tblStylePr w:type="firstRow">
      <w:pPr>
        <w:spacing w:before="0" w:after="0" w:line="240" w:lineRule="auto"/>
      </w:pPr>
      <w:rPr>
        <w:b w:val="1"/>
        <w:bCs w:val="1"/>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firstCol">
      <w:rPr>
        <w:b w:val="1"/>
        <w:bCs w:val="1"/>
      </w:rPr>
    </w:tblStylePr>
    <w:tblStylePr w:type="lastCol">
      <w:rPr>
        <w:b w:val="1"/>
        <w:bCs w:val="1"/>
      </w:rPr>
    </w:tblStylePr>
    <w:tblStylePr w:type="lastRow">
      <w:pPr>
        <w:spacing w:before="0" w:after="0" w:line="240" w:lineRule="auto"/>
      </w:pPr>
      <w:rPr>
        <w:b w:val="1"/>
        <w:bCs w:val="1"/>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band1Horz">
      <w:tblPr/>
      <w:tcPr>
        <w:tcBorders>
          <w:insideH w:val="nil"/>
          <w:insideV w:val="nil"/>
        </w:tcBorders>
        <w:shd w:val="clear" w:color="auto" w:fill="D3DFEE" w:themeFill="accent1" w:themeFillTint="3F"/>
      </w:tcPr>
    </w:tblStylePr>
  </w:style>
  <w:style w:type="table" w:styleId="000067">
    <w:name w:val="Medium Shading 2 Accent 1"/>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band1Horz">
      <w:tblPr/>
      <w:tcPr>
        <w:shd w:val="clear" w:color="auto" w:fill="D8D8D8" w:themeFill="background1" w:themeFillShade="D8"/>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eCell">
      <w:tblPr/>
      <w:tcPr>
        <w:tcBorders>
          <w:top w:val="single" w:color="auto" w:sz="18" w:space="0"/>
          <w:left w:val="nil"/>
          <w:bottom w:val="single" w:color="auto" w:sz="18" w:space="0"/>
          <w:right w:val="nil"/>
          <w:insideH w:val="nil"/>
          <w:insideV w:val="nil"/>
        </w:tcBorders>
      </w:tcPr>
    </w:tblStylePr>
  </w:style>
  <w:style w:type="table" w:styleId="0000a4">
    <w:name w:val="Colorful List Accent 6"/>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val="1"/>
        <w:bCs w:val="1"/>
        <w:color w:val="FFFFFF" w:themeColor="background1"/>
      </w:rPr>
      <w:tblPr/>
      <w:tcPr>
        <w:tcBorders>
          <w:bottom w:val="single" w:color="FFFFFF" w:themeColor="background1" w:sz="12" w:space="0"/>
        </w:tcBorders>
        <w:shd w:val="clear" w:color="auto" w:fill="348DA5" w:themeFill="accent5" w:themeFillShade="CC"/>
      </w:tc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tblStylePr w:type="lastRow">
      <w:rPr>
        <w:b w:val="1"/>
        <w:bCs w:val="1"/>
        <w:color w:val="348DA5" w:themeColor="accent5" w:themeShade="CC"/>
      </w:rPr>
      <w:tblPr/>
      <w:tcPr>
        <w:tcBorders>
          <w:top w:val="single" w:color="000000" w:themeColor="text1" w:sz="12" w:space="0"/>
        </w:tcBorders>
        <w:shd w:val="clear" w:color="auto" w:fill="FFFFFF" w:themeFill="background1"/>
      </w:tcPr>
    </w:tblStylePr>
    <w:tblStylePr w:type="lastCol">
      <w:rPr>
        <w:b w:val="1"/>
        <w:bCs w:val="1"/>
      </w:rPr>
    </w:tblStylePr>
    <w:tblStylePr w:type="firstCol">
      <w:rPr>
        <w:b w:val="1"/>
        <w:bCs w:val="1"/>
      </w:rPr>
    </w:tblStylePr>
  </w:style>
  <w:style w:type="table" w:styleId="000089">
    <w:name w:val="Medium Grid 3"/>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style>
  <w:style w:type="table" w:styleId="000071">
    <w:name w:val="Medium List 1 Accent 4"/>
    <w:basedOn w:val="00001a"/>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lastRow">
      <w:rPr>
        <w:b w:val="1"/>
        <w:bCs w:val="1"/>
        <w:color w:val="1F497D" w:themeColor="text2"/>
      </w:rPr>
      <w:tblPr/>
      <w:tcPr>
        <w:tcBorders>
          <w:top w:val="single" w:color="8064A2" w:themeColor="accent4" w:sz="8" w:space="0"/>
          <w:bottom w:val="single" w:color="8064A2" w:themeColor="accent4" w:sz="8" w:space="0"/>
        </w:tcBorders>
      </w:tcPr>
    </w:tblStylePr>
    <w:tblStylePr w:type="band1Horz">
      <w:tblPr/>
      <w:tcPr>
        <w:shd w:val="clear" w:color="auto" w:fill="DFD8E8" w:themeFill="accent4" w:themeFillTint="3F"/>
      </w:tcPr>
    </w:tblStylePr>
    <w:tblStylePr w:type="firstCol">
      <w:rPr>
        <w:b w:val="1"/>
        <w:bCs w:val="1"/>
      </w:rPr>
    </w:tblStylePr>
    <w:tblStylePr w:type="lastCol">
      <w:rPr>
        <w:b w:val="1"/>
        <w:bCs w:val="1"/>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firstRow">
      <w:rPr>
        <w:rFonts w:asciiTheme="majorHAnsi" w:hAnsiTheme="majorHAnsi" w:eastAsiaTheme="majorEastAsia" w:cstheme="majorBidi"/>
      </w:rPr>
      <w:tblPr/>
      <w:tcPr>
        <w:tcBorders>
          <w:top w:val="nil"/>
          <w:bottom w:val="single" w:color="8064A2" w:themeColor="accent4" w:sz="8" w:space="0"/>
        </w:tcBorders>
      </w:tcPr>
    </w:tblStylePr>
  </w:style>
  <w:style w:type="table" w:styleId="000093">
    <w:name w:val="Dark List Accent 3"/>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band1Horz">
      <w:tblPr/>
      <w:tcPr>
        <w:tcBorders>
          <w:top w:val="nil"/>
          <w:left w:val="nil"/>
          <w:bottom w:val="nil"/>
          <w:right w:val="nil"/>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style>
  <w:style w:type="table" w:styleId="00008f">
    <w:name w:val="Medium Grid 3 Accent 6"/>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style>
  <w:style w:type="table" w:styleId="00004f">
    <w:name w:val="Light Shading Accent 5"/>
    <w:basedOn w:val="00001a"/>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val="1"/>
        <w:bCs w:val="1"/>
      </w:rPr>
    </w:tblStylePr>
    <w:tblStylePr w:type="lastCol">
      <w:rPr>
        <w:b w:val="1"/>
        <w:bCs w:val="1"/>
      </w:rPr>
    </w:tblStylePr>
    <w:tblStylePr w:type="band1Vert">
      <w:tblPr/>
      <w:tcPr>
        <w:tcBorders>
          <w:left w:val="nil"/>
          <w:right w:val="nil"/>
          <w:insideH w:val="nil"/>
          <w:insideV w:val="nil"/>
        </w:tcBorders>
        <w:shd w:val="clear" w:color="auto" w:fill="D2EAF1" w:themeFill="accent5" w:themeFillTint="3F"/>
      </w:tcPr>
    </w:tblStylePr>
    <w:tblStylePr w:type="fir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band1Horz">
      <w:tblPr/>
      <w:tcPr>
        <w:tcBorders>
          <w:left w:val="nil"/>
          <w:right w:val="nil"/>
          <w:insideH w:val="nil"/>
          <w:insideV w:val="nil"/>
        </w:tcBorders>
        <w:shd w:val="clear" w:color="auto" w:fill="D2EAF1" w:themeFill="accent5" w:themeFillTint="3F"/>
      </w:tcPr>
    </w:tblStylePr>
  </w:style>
  <w:style w:type="table" w:styleId="000087">
    <w:name w:val="Medium Grid 2 Accent 5"/>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band1Vert">
      <w:tblPr/>
      <w:tcPr>
        <w:shd w:val="clear" w:color="auto" w:fill="A5D5E2" w:themeFill="accent5" w:themeFillTint="7F"/>
      </w:tcPr>
    </w:tblStylePr>
    <w:tblStylePr w:type="firstRow">
      <w:rPr>
        <w:b w:val="1"/>
        <w:bCs w:val="1"/>
        <w:color w:val="000000" w:themeColor="text1"/>
      </w:rPr>
      <w:tblPr/>
      <w:tcPr>
        <w:shd w:val="clear" w:color="auto" w:fill="EDF6F9" w:themeFill="accent5" w:themeFillTint="19"/>
      </w:tcPr>
    </w:tblStylePr>
    <w:tblStylePr w:type="nwCell">
      <w:tblPr/>
      <w:tcPr>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style>
  <w:style w:type="table" w:styleId="0000a3">
    <w:name w:val="Colorful List Accent 5"/>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F2730A" w:themeFill="accent6" w:themeFillShade="CC"/>
      </w:tc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tblStylePr w:type="lastCol">
      <w:rPr>
        <w:b w:val="1"/>
        <w:bCs w:val="1"/>
      </w:rPr>
    </w:tblStylePr>
    <w:tblStylePr w:type="lastRow">
      <w:rPr>
        <w:b w:val="1"/>
        <w:bCs w:val="1"/>
        <w:color w:val="F2730A" w:themeColor="accent6" w:themeShade="CC"/>
      </w:rPr>
      <w:tblPr/>
      <w:tcPr>
        <w:tcBorders>
          <w:top w:val="single" w:color="000000" w:themeColor="text1" w:sz="12" w:space="0"/>
        </w:tcBorders>
        <w:shd w:val="clear" w:color="auto" w:fill="FFFFFF" w:themeFill="background1"/>
      </w:tcPr>
    </w:tblStylePr>
  </w:style>
  <w:style w:type="paragraph" w:styleId="000018">
    <w:name w:val="heading 9"/>
    <w:basedOn w:val="000002"/>
    <w:next w:val="000002"/>
    <w:link w:val="000019"/>
    <w:uiPriority w:val="9"/>
    <w:semiHidden w:val="1"/>
    <w:unhideWhenUsed w:val="1"/>
    <w:qFormat w:val="1"/>
    <w:rsid w:val="00FC693F"/>
    <w:pPr>
      <w:keepNext w:val="1"/>
      <w:keepLines w:val="1"/>
      <w:spacing w:before="200" w:after="0"/>
      <w:outlineLvl w:val="8"/>
    </w:pPr>
    <w:rPr>
      <w:rFonts w:asciiTheme="majorHAnsi" w:hAnsiTheme="majorHAnsi" w:eastAsiaTheme="majorEastAsia" w:cstheme="majorBidi"/>
      <w:i w:val="1"/>
      <w:iCs w:val="1"/>
      <w:color w:val="404040" w:themeColor="text1" w:themeTint="BF"/>
      <w:sz w:val="20"/>
      <w:szCs w:val="20"/>
    </w:rPr>
  </w:style>
  <w:style w:type="table" w:styleId="0000a0">
    <w:name w:val="Colorful List Accent 2"/>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band1Vert">
      <w:tblPr/>
      <w:tcPr>
        <w:tcBorders>
          <w:top w:val="nil"/>
          <w:left w:val="nil"/>
          <w:bottom w:val="nil"/>
          <w:right w:val="nil"/>
          <w:insideH w:val="nil"/>
          <w:insideV w:val="nil"/>
        </w:tcBorders>
        <w:shd w:val="clear" w:color="auto" w:fill="EFD3D2" w:themeFill="accent2" w:themeFillTint="3F"/>
      </w:tc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lastCol">
      <w:rPr>
        <w:b w:val="1"/>
        <w:bCs w:val="1"/>
      </w:rPr>
    </w:tblStylePr>
    <w:tblStylePr w:type="firstCol">
      <w:rPr>
        <w:b w:val="1"/>
        <w:bCs w:val="1"/>
      </w:rPr>
    </w:tblStylePr>
    <w:tblStylePr w:type="band1Horz">
      <w:tblPr/>
      <w:tcPr>
        <w:shd w:val="clear" w:color="auto" w:fill="F2DBDB" w:themeFill="accent2" w:themeFillTint="33"/>
      </w:tcPr>
    </w:tblStylePr>
  </w:style>
  <w:style w:type="character" w:styleId="000047">
    <w:name w:val="Book Title"/>
    <w:basedOn w:val="000005"/>
    <w:uiPriority w:val="33"/>
    <w:qFormat w:val="1"/>
    <w:rsid w:val="00FC693F"/>
    <w:rPr>
      <w:b w:val="1"/>
      <w:bCs w:val="1"/>
      <w:smallCaps w:val="1"/>
      <w:spacing w:val="5"/>
    </w:rPr>
  </w:style>
  <w:style w:type="table" w:styleId="00004c">
    <w:name w:val="Light Shading Accent 2"/>
    <w:basedOn w:val="00001a"/>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lastCol">
      <w:rPr>
        <w:b w:val="1"/>
        <w:bCs w:val="1"/>
      </w:rPr>
    </w:tblStylePr>
    <w:tblStylePr w:type="band1Horz">
      <w:tblPr/>
      <w:tcPr>
        <w:tcBorders>
          <w:left w:val="nil"/>
          <w:right w:val="nil"/>
          <w:insideH w:val="nil"/>
          <w:insideV w:val="nil"/>
        </w:tcBorders>
        <w:shd w:val="clear" w:color="auto" w:fill="EFD3D2" w:themeFill="accent2" w:themeFillTint="3F"/>
      </w:tcPr>
    </w:tblStylePr>
    <w:tblStylePr w:type="la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val="1"/>
        <w:bCs w:val="1"/>
      </w:rPr>
    </w:tblStylePr>
    <w:tblStylePr w:type="band1Vert">
      <w:tblPr/>
      <w:tcPr>
        <w:tcBorders>
          <w:left w:val="nil"/>
          <w:right w:val="nil"/>
          <w:insideH w:val="nil"/>
          <w:insideV w:val="nil"/>
        </w:tcBorders>
        <w:shd w:val="clear" w:color="auto" w:fill="EFD3D2" w:themeFill="accent2" w:themeFillTint="3F"/>
      </w:tcPr>
    </w:tblStylePr>
  </w:style>
  <w:style w:type="paragraph" w:styleId="000003">
    <w:name w:val="header"/>
    <w:basedOn w:val="000002"/>
    <w:link w:val="000004"/>
    <w:uiPriority w:val="99"/>
    <w:unhideWhenUsed w:val="1"/>
    <w:rsid w:val="00E618BF"/>
    <w:pPr>
      <w:tabs>
        <w:tab w:val="center" w:pos="4680"/>
        <w:tab w:val="right" w:pos="9360"/>
      </w:tabs>
      <w:spacing w:after="0" w:line="240" w:lineRule="auto"/>
    </w:pPr>
  </w:style>
  <w:style w:type="paragraph" w:styleId="000048">
    <w:name w:val="TOC Heading"/>
    <w:basedOn w:val="000008"/>
    <w:next w:val="000002"/>
    <w:uiPriority w:val="39"/>
    <w:semiHidden w:val="1"/>
    <w:unhideWhenUsed w:val="1"/>
    <w:qFormat w:val="1"/>
    <w:rsid w:val="00FC693F"/>
    <w:pPr>
      <w:outlineLvl w:val="9"/>
    </w:pPr>
  </w:style>
  <w:style w:type="table" w:styleId="0000a7">
    <w:name w:val="Colorful Grid Accent 2"/>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band1Vert">
      <w:tblPr/>
      <w:tcPr>
        <w:shd w:val="clear" w:color="auto" w:fill="DFA7A6" w:themeFill="accent2" w:themeFillTint="7F"/>
      </w:tcPr>
    </w:tblStylePr>
    <w:tblStylePr w:type="firstCol">
      <w:rPr>
        <w:color w:val="FFFFFF" w:themeColor="background1"/>
      </w:rPr>
      <w:tblPr/>
      <w:tcPr>
        <w:shd w:val="clear" w:color="auto" w:fill="943634" w:themeFill="accent2" w:themeFillShade="BF"/>
      </w:tcPr>
    </w:tblStylePr>
    <w:tblStylePr w:type="firstRow">
      <w:rPr>
        <w:b w:val="1"/>
        <w:bCs w:val="1"/>
      </w:rPr>
      <w:tblPr/>
      <w:tcPr>
        <w:shd w:val="clear" w:color="auto" w:fill="E5B8B7" w:themeFill="accent2" w:themeFillTint="66"/>
      </w:tcPr>
    </w:tblStylePr>
    <w:tblStylePr w:type="lastRow">
      <w:rPr>
        <w:b w:val="1"/>
        <w:bCs w:val="1"/>
        <w:color w:val="000000" w:themeColor="text1"/>
      </w:rPr>
      <w:tblPr/>
      <w:tcPr>
        <w:shd w:val="clear" w:color="auto" w:fill="E5B8B7" w:themeFill="accent2" w:themeFillTint="66"/>
      </w:tcPr>
    </w:tblStylePr>
    <w:tblStylePr w:type="lastCol">
      <w:rPr>
        <w:color w:val="FFFFFF" w:themeColor="background1"/>
      </w:rPr>
      <w:tblPr/>
      <w:tcPr>
        <w:shd w:val="clear" w:color="auto" w:fill="943634" w:themeFill="accent2" w:themeFillShade="BF"/>
      </w:tcPr>
    </w:tblStylePr>
    <w:tblStylePr w:type="band1Horz">
      <w:tblPr/>
      <w:tcPr>
        <w:shd w:val="clear" w:color="auto" w:fill="DFA7A6" w:themeFill="accent2" w:themeFillTint="7F"/>
      </w:tcPr>
    </w:tblStylePr>
  </w:style>
  <w:style w:type="character" w:styleId="000007" w:customStyle="1">
    <w:name w:val="Footer Char"/>
    <w:basedOn w:val="000005"/>
    <w:link w:val="000006"/>
    <w:uiPriority w:val="99"/>
    <w:rsid w:val="00E618BF"/>
  </w:style>
  <w:style w:type="table" w:styleId="000094">
    <w:name w:val="Dark List Accent 4"/>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band1Vert">
      <w:tblPr/>
      <w:tcPr>
        <w:tcBorders>
          <w:top w:val="nil"/>
          <w:left w:val="nil"/>
          <w:bottom w:val="nil"/>
          <w:right w:val="nil"/>
          <w:insideH w:val="nil"/>
          <w:insideV w:val="nil"/>
        </w:tcBorders>
        <w:shd w:val="clear" w:color="auto" w:fill="5F497A" w:themeFill="accent4" w:themeFillShade="BF"/>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style>
  <w:style w:type="table" w:styleId="00007c">
    <w:name w:val="Medium Grid 1 Accent 1"/>
    <w:basedOn w:val="00001a"/>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val="1"/>
        <w:bCs w:val="1"/>
      </w:rPr>
    </w:tblStylePr>
    <w:tblStylePr w:type="band1Vert">
      <w:tblPr/>
      <w:tcPr>
        <w:shd w:val="clear" w:color="auto" w:fill="A7BFDE" w:themeFill="accent1" w:themeFillTint="7F"/>
      </w:tcPr>
    </w:tblStylePr>
    <w:tblStylePr w:type="lastCol">
      <w:rPr>
        <w:b w:val="1"/>
        <w:bCs w:val="1"/>
      </w:rPr>
    </w:tblStylePr>
    <w:tblStylePr w:type="band1Horz">
      <w:tblPr/>
      <w:tcPr>
        <w:shd w:val="clear" w:color="auto" w:fill="A7BFDE" w:themeFill="accent1" w:themeFillTint="7F"/>
      </w:tcPr>
    </w:tblStylePr>
    <w:tblStylePr w:type="lastRow">
      <w:rPr>
        <w:b w:val="1"/>
        <w:bCs w:val="1"/>
      </w:rPr>
      <w:tblPr/>
      <w:tcPr>
        <w:tcBorders>
          <w:top w:val="single" w:color="7BA0CD" w:themeColor="accent1" w:themeTint="BF" w:sz="18" w:space="0"/>
        </w:tcBorders>
      </w:tcPr>
    </w:tblStylePr>
    <w:tblStylePr w:type="firstCol">
      <w:rPr>
        <w:b w:val="1"/>
        <w:bCs w:val="1"/>
      </w:rPr>
    </w:tblStylePr>
  </w:style>
  <w:style w:type="character" w:styleId="000019" w:customStyle="1">
    <w:name w:val="Heading 9 Char"/>
    <w:basedOn w:val="000005"/>
    <w:link w:val="000018"/>
    <w:uiPriority w:val="9"/>
    <w:semiHidden w:val="1"/>
    <w:rsid w:val="00FC693F"/>
    <w:rPr>
      <w:rFonts w:asciiTheme="majorHAnsi" w:hAnsiTheme="majorHAnsi" w:eastAsiaTheme="majorEastAsia" w:cstheme="majorBidi"/>
      <w:i w:val="1"/>
      <w:iCs w:val="1"/>
      <w:color w:val="404040" w:themeColor="text1" w:themeTint="BF"/>
      <w:sz w:val="20"/>
      <w:szCs w:val="20"/>
    </w:rPr>
  </w:style>
  <w:style w:type="paragraph" w:styleId="000021">
    <w:name w:val="List Paragraph"/>
    <w:basedOn w:val="000002"/>
    <w:uiPriority w:val="34"/>
    <w:qFormat w:val="1"/>
    <w:rsid w:val="00FC693F"/>
    <w:pPr>
      <w:ind w:left="720"/>
      <w:contextualSpacing w:val="1"/>
    </w:pPr>
  </w:style>
  <w:style w:type="table" w:styleId="00009e">
    <w:name w:val="Colorful List"/>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lastCol">
      <w:rPr>
        <w:b w:val="1"/>
        <w:bCs w:val="1"/>
      </w:rPr>
    </w:tblStylePr>
    <w:tblStylePr w:type="firstCol">
      <w:rPr>
        <w:b w:val="1"/>
        <w:bCs w:val="1"/>
      </w:rPr>
    </w:tblStylePr>
  </w:style>
  <w:style w:type="paragraph" w:styleId="00003a">
    <w:name w:val="macro"/>
    <w:link w:val="00003b"/>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table" w:styleId="00007d">
    <w:name w:val="Medium Grid 1 Accent 2"/>
    <w:basedOn w:val="00001a"/>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band1Vert">
      <w:tblPr/>
      <w:tcPr>
        <w:shd w:val="clear" w:color="auto" w:fill="DFA7A6" w:themeFill="accent2" w:themeFillTint="7F"/>
      </w:tcPr>
    </w:tblStylePr>
    <w:tblStylePr w:type="band1Horz">
      <w:tblPr/>
      <w:tcPr>
        <w:shd w:val="clear" w:color="auto" w:fill="DFA7A6" w:themeFill="accent2" w:themeFillTint="7F"/>
      </w:tcPr>
    </w:tblStylePr>
    <w:tblStylePr w:type="lastRow">
      <w:rPr>
        <w:b w:val="1"/>
        <w:bCs w:val="1"/>
      </w:rPr>
      <w:tblPr/>
      <w:tcPr>
        <w:tcBorders>
          <w:top w:val="single" w:color="CF7B79" w:themeColor="accent2" w:themeTint="BF" w:sz="18" w:space="0"/>
        </w:tcBorders>
      </w:tcPr>
    </w:tblStylePr>
    <w:tblStylePr w:type="firstCol">
      <w:rPr>
        <w:b w:val="1"/>
        <w:bCs w:val="1"/>
      </w:rPr>
    </w:tblStylePr>
    <w:tblStylePr w:type="firstRow">
      <w:rPr>
        <w:b w:val="1"/>
        <w:bCs w:val="1"/>
      </w:rPr>
    </w:tblStylePr>
    <w:tblStylePr w:type="lastCol">
      <w:rPr>
        <w:b w:val="1"/>
        <w:bCs w:val="1"/>
      </w:rPr>
    </w:tblStylePr>
  </w:style>
  <w:style w:type="character" w:styleId="000043">
    <w:name w:val="Subtle Emphasis"/>
    <w:basedOn w:val="000005"/>
    <w:uiPriority w:val="19"/>
    <w:qFormat w:val="1"/>
    <w:rsid w:val="00FC693F"/>
    <w:rPr>
      <w:i w:val="1"/>
      <w:iCs w:val="1"/>
      <w:color w:val="808080" w:themeColor="text1" w:themeTint="7F"/>
    </w:rPr>
  </w:style>
  <w:style w:type="table" w:styleId="00006e">
    <w:name w:val="Medium List 1 Accent 1"/>
    <w:basedOn w:val="00001a"/>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lastRow">
      <w:rPr>
        <w:b w:val="1"/>
        <w:bCs w:val="1"/>
        <w:color w:val="1F497D" w:themeColor="text2"/>
      </w:rPr>
      <w:tblPr/>
      <w:tcPr>
        <w:tcBorders>
          <w:top w:val="single" w:color="4F81BD" w:themeColor="accent1" w:sz="8" w:space="0"/>
          <w:bottom w:val="single" w:color="4F81BD" w:themeColor="accent1" w:sz="8" w:space="0"/>
        </w:tcBorders>
      </w:tcPr>
    </w:tblStylePr>
    <w:tblStylePr w:type="band1Horz">
      <w:tblPr/>
      <w:tcPr>
        <w:shd w:val="clear" w:color="auto" w:fill="D3DFEE" w:themeFill="accent1" w:themeFillTint="3F"/>
      </w:tcPr>
    </w:tblStyle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firstCol">
      <w:rPr>
        <w:b w:val="1"/>
        <w:bCs w:val="1"/>
      </w:rPr>
    </w:tblStylePr>
    <w:tblStylePr w:type="band1Vert">
      <w:tblPr/>
      <w:tcPr>
        <w:shd w:val="clear" w:color="auto" w:fill="D3DFEE" w:themeFill="accent1" w:themeFillTint="3F"/>
      </w:tcPr>
    </w:tblStylePr>
    <w:tblStylePr w:type="lastCol">
      <w:rPr>
        <w:b w:val="1"/>
        <w:bCs w:val="1"/>
      </w:rPr>
      <w:tblPr/>
      <w:tcPr>
        <w:tcBorders>
          <w:top w:val="single" w:color="4F81BD" w:themeColor="accent1" w:sz="8" w:space="0"/>
          <w:bottom w:val="single" w:color="4F81BD" w:themeColor="accent1" w:sz="8" w:space="0"/>
        </w:tcBorders>
      </w:tcPr>
    </w:tblStylePr>
  </w:style>
  <w:style w:type="paragraph" w:styleId="000032">
    <w:name w:val="List Number"/>
    <w:basedOn w:val="000002"/>
    <w:uiPriority w:val="99"/>
    <w:unhideWhenUsed w:val="1"/>
    <w:rsid w:val="00326F90"/>
    <w:pPr>
      <w:numPr>
        <w:numId w:val="3"/>
      </w:numPr>
      <w:contextualSpacing w:val="1"/>
    </w:pPr>
  </w:style>
  <w:style w:type="paragraph" w:styleId="000024">
    <w:name w:val="Body Text 2"/>
    <w:basedOn w:val="000002"/>
    <w:link w:val="000025"/>
    <w:uiPriority w:val="99"/>
    <w:unhideWhenUsed w:val="1"/>
    <w:rsid w:val="00AA1D8D"/>
    <w:pPr>
      <w:spacing w:after="120" w:line="480" w:lineRule="auto"/>
    </w:pPr>
  </w:style>
  <w:style w:type="table" w:styleId="000049">
    <w:name w:val="Table Grid"/>
    <w:basedOn w:val="00001a"/>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000064">
    <w:name w:val="Medium Shading 1 Accent 5"/>
    <w:basedOn w:val="00001a"/>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band2Horz">
      <w:tblPr/>
      <w:tcPr>
        <w:tcBorders>
          <w:insideH w:val="nil"/>
          <w:insideV w:val="nil"/>
        </w:tcBorders>
      </w:tcPr>
    </w:tblStylePr>
    <w:tblStylePr w:type="band1Horz">
      <w:tblPr/>
      <w:tcPr>
        <w:tcBorders>
          <w:insideH w:val="nil"/>
          <w:insideV w:val="nil"/>
        </w:tcBorders>
        <w:shd w:val="clear" w:color="auto" w:fill="D2EAF1" w:themeFill="accent5" w:themeFillTint="3F"/>
      </w:tcPr>
    </w:tblStylePr>
    <w:tblStylePr w:type="firstCol">
      <w:rPr>
        <w:b w:val="1"/>
        <w:bCs w:val="1"/>
      </w:rPr>
    </w:tblStylePr>
    <w:tblStylePr w:type="band1Vert">
      <w:tblPr/>
      <w:tcPr>
        <w:shd w:val="clear" w:color="auto" w:fill="D2EAF1" w:themeFill="accent5" w:themeFillTint="3F"/>
      </w:tcPr>
    </w:tblStylePr>
    <w:tblStylePr w:type="lastRow">
      <w:pPr>
        <w:spacing w:before="0" w:after="0" w:line="240" w:lineRule="auto"/>
      </w:pPr>
      <w:rPr>
        <w:b w:val="1"/>
        <w:bCs w:val="1"/>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Row">
      <w:pPr>
        <w:spacing w:before="0" w:after="0" w:line="240" w:lineRule="auto"/>
      </w:pPr>
      <w:rPr>
        <w:b w:val="1"/>
        <w:bCs w:val="1"/>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Col">
      <w:rPr>
        <w:b w:val="1"/>
        <w:bCs w:val="1"/>
      </w:rPr>
    </w:tblStylePr>
  </w:style>
  <w:style w:type="paragraph" w:styleId="000038">
    <w:name w:val="List Continue 2"/>
    <w:basedOn w:val="000002"/>
    <w:uiPriority w:val="99"/>
    <w:unhideWhenUsed w:val="1"/>
    <w:rsid w:val="0029639D"/>
    <w:pPr>
      <w:spacing w:after="120"/>
      <w:ind w:left="720"/>
      <w:contextualSpacing w:val="1"/>
    </w:pPr>
  </w:style>
  <w:style w:type="paragraph" w:styleId="00000c">
    <w:name w:val="heading 3"/>
    <w:basedOn w:val="000002"/>
    <w:next w:val="000002"/>
    <w:link w:val="00000d"/>
    <w:uiPriority w:val="9"/>
    <w:unhideWhenUsed w:val="1"/>
    <w:qFormat w:val="1"/>
    <w:rsid w:val="00FC693F"/>
    <w:pPr>
      <w:keepNext w:val="1"/>
      <w:keepLines w:val="1"/>
      <w:spacing w:before="160" w:after="80"/>
      <w:outlineLvl w:val="2"/>
    </w:pPr>
    <w:rPr>
      <w:rFonts w:ascii="Noto Sans CJK SC" w:hAnsi="Noto Sans CJK SC" w:eastAsia="Noto Sans CJK SC" w:asciiTheme="majorHAnsi" w:hAnsiTheme="majorHAnsi" w:eastAsiaTheme="majorEastAsia" w:cstheme="majorBidi"/>
      <w:b w:val="1"/>
      <w:bCs w:val="1"/>
      <w:color w:val="1F1F1F"/>
      <w:sz w:val="23"/>
    </w:rPr>
  </w:style>
  <w:style w:type="character" w:styleId="000013" w:customStyle="1">
    <w:name w:val="Heading 6 Char"/>
    <w:basedOn w:val="000005"/>
    <w:link w:val="000012"/>
    <w:uiPriority w:val="9"/>
    <w:semiHidden w:val="1"/>
    <w:rsid w:val="00FC693F"/>
    <w:rPr>
      <w:rFonts w:asciiTheme="majorHAnsi" w:hAnsiTheme="majorHAnsi" w:eastAsiaTheme="majorEastAsia" w:cstheme="majorBidi"/>
      <w:i w:val="1"/>
      <w:iCs w:val="1"/>
      <w:color w:val="243F60" w:themeColor="accent1" w:themeShade="7F"/>
    </w:rPr>
  </w:style>
  <w:style w:type="character" w:styleId="000011" w:customStyle="1">
    <w:name w:val="Heading 5 Char"/>
    <w:basedOn w:val="000005"/>
    <w:link w:val="000010"/>
    <w:uiPriority w:val="9"/>
    <w:semiHidden w:val="1"/>
    <w:rsid w:val="00FC693F"/>
    <w:rPr>
      <w:rFonts w:asciiTheme="majorHAnsi" w:hAnsiTheme="majorHAnsi" w:eastAsiaTheme="majorEastAsia" w:cstheme="majorBidi"/>
      <w:color w:val="243F60" w:themeColor="accent1" w:themeShade="7F"/>
    </w:rPr>
  </w:style>
  <w:style w:type="table" w:styleId="000078">
    <w:name w:val="Medium List 2 Accent 4"/>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swCell">
      <w:tblPr/>
      <w:tcPr>
        <w:tcBorders>
          <w:top w:val="nil"/>
        </w:tcBorders>
      </w:tcPr>
    </w:tblStylePr>
    <w:tblStylePr w:type="band1Horz">
      <w:tblPr/>
      <w:tcPr>
        <w:tcBorders>
          <w:top w:val="nil"/>
          <w:bottom w:val="nil"/>
          <w:insideH w:val="nil"/>
          <w:insideV w:val="nil"/>
        </w:tcBorders>
        <w:shd w:val="clear" w:color="auto" w:fill="DFD8E8" w:themeFill="accent4" w:themeFillTint="3F"/>
      </w:tcPr>
    </w:tblStyle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style>
  <w:style w:type="table" w:styleId="000073">
    <w:name w:val="Medium List 1 Accent 6"/>
    <w:basedOn w:val="00001a"/>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lastCol">
      <w:rPr>
        <w:b w:val="1"/>
        <w:bCs w:val="1"/>
      </w:rPr>
      <w:tblPr/>
      <w:tcPr>
        <w:tcBorders>
          <w:top w:val="single" w:color="F79646" w:themeColor="accent6" w:sz="8" w:space="0"/>
          <w:bottom w:val="single" w:color="F79646" w:themeColor="accent6" w:sz="8" w:space="0"/>
        </w:tcBorders>
      </w:tcPr>
    </w:tblStylePr>
    <w:tblStylePr w:type="firstCol">
      <w:rPr>
        <w:b w:val="1"/>
        <w:bCs w:val="1"/>
      </w:rPr>
    </w:tblStylePr>
    <w:tblStylePr w:type="band1Vert">
      <w:tblPr/>
      <w:tcPr>
        <w:shd w:val="clear" w:color="auto" w:fill="FDE4D0" w:themeFill="accent6" w:themeFillTint="3F"/>
      </w:tcPr>
    </w:tblStyle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val="1"/>
        <w:bCs w:val="1"/>
        <w:color w:val="1F497D" w:themeColor="text2"/>
      </w:rPr>
      <w:tblPr/>
      <w:tcPr>
        <w:tcBorders>
          <w:top w:val="single" w:color="F79646" w:themeColor="accent6" w:sz="8" w:space="0"/>
          <w:bottom w:val="single" w:color="F79646" w:themeColor="accent6" w:sz="8" w:space="0"/>
        </w:tcBorders>
      </w:tcPr>
    </w:tblStylePr>
    <w:tblStylePr w:type="band1Horz">
      <w:tblPr/>
      <w:tcPr>
        <w:shd w:val="clear" w:color="auto" w:fill="FDE4D0" w:themeFill="accent6" w:themeFillTint="3F"/>
      </w:tcPr>
    </w:tblStylePr>
  </w:style>
  <w:style w:type="character" w:styleId="000045">
    <w:name w:val="Subtle Reference"/>
    <w:basedOn w:val="000005"/>
    <w:uiPriority w:val="31"/>
    <w:qFormat w:val="1"/>
    <w:rsid w:val="00FC693F"/>
    <w:rPr>
      <w:smallCaps w:val="1"/>
      <w:color w:val="C0504D" w:themeColor="accent2"/>
      <w:u w:val="single"/>
    </w:rPr>
  </w:style>
  <w:style w:type="character" w:styleId="000040">
    <w:name w:val="Emphasis"/>
    <w:basedOn w:val="000005"/>
    <w:uiPriority w:val="20"/>
    <w:qFormat w:val="1"/>
    <w:rsid w:val="00FC693F"/>
    <w:rPr>
      <w:i w:val="1"/>
      <w:iCs w:val="1"/>
    </w:rPr>
  </w:style>
  <w:style w:type="character" w:styleId="000023" w:customStyle="1">
    <w:name w:val="Body Text Char"/>
    <w:basedOn w:val="000005"/>
    <w:link w:val="000022"/>
    <w:uiPriority w:val="99"/>
    <w:rsid w:val="00AA1D8D"/>
  </w:style>
  <w:style w:type="table" w:styleId="000074">
    <w:name w:val="Medium List 2"/>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C0C0C0" w:themeFill="text1" w:themeFillTint="3F"/>
      </w:tcPr>
    </w:tblStylePr>
  </w:style>
  <w:style w:type="paragraph" w:styleId="000037">
    <w:name w:val="List Continue"/>
    <w:basedOn w:val="000002"/>
    <w:uiPriority w:val="99"/>
    <w:unhideWhenUsed w:val="1"/>
    <w:rsid w:val="0029639D"/>
    <w:pPr>
      <w:spacing w:after="120"/>
      <w:ind w:left="360"/>
      <w:contextualSpacing w:val="1"/>
    </w:pPr>
  </w:style>
  <w:style w:type="table" w:styleId="00008a">
    <w:name w:val="Medium Grid 3 Accent 1"/>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style>
  <w:style w:type="table" w:styleId="0000a6">
    <w:name w:val="Colorful Grid Accent 1"/>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Col">
      <w:rPr>
        <w:color w:val="FFFFFF" w:themeColor="background1"/>
      </w:rPr>
      <w:tblPr/>
      <w:tcPr>
        <w:shd w:val="clear" w:color="auto" w:fill="365F91" w:themeFill="accent1" w:themeFillShade="BF"/>
      </w:tcPr>
    </w:tblStylePr>
    <w:tblStylePr w:type="band1Horz">
      <w:tblPr/>
      <w:tcPr>
        <w:shd w:val="clear" w:color="auto" w:fill="A7BFDE" w:themeFill="accent1" w:themeFillTint="7F"/>
      </w:tcPr>
    </w:tblStylePr>
    <w:tblStylePr w:type="lastRow">
      <w:rPr>
        <w:b w:val="1"/>
        <w:bCs w:val="1"/>
        <w:color w:val="000000" w:themeColor="text1"/>
      </w:rPr>
      <w:tblPr/>
      <w:tcPr>
        <w:shd w:val="clear" w:color="auto" w:fill="B8CCE4" w:themeFill="accent1" w:themeFillTint="66"/>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firstRow">
      <w:rPr>
        <w:b w:val="1"/>
        <w:bCs w:val="1"/>
      </w:rPr>
      <w:tblPr/>
      <w:tcPr>
        <w:shd w:val="clear" w:color="auto" w:fill="B8CCE4" w:themeFill="accent1" w:themeFillTint="66"/>
      </w:tcPr>
    </w:tblStylePr>
  </w:style>
  <w:style w:type="paragraph" w:styleId="00002a">
    <w:name w:val="List 3"/>
    <w:basedOn w:val="000002"/>
    <w:uiPriority w:val="99"/>
    <w:unhideWhenUsed w:val="1"/>
    <w:rsid w:val="00326F90"/>
    <w:pPr>
      <w:ind w:left="1080" w:hanging="360"/>
      <w:contextualSpacing w:val="1"/>
    </w:pPr>
  </w:style>
  <w:style w:type="table" w:styleId="000091">
    <w:name w:val="Dark List Accent 1"/>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style>
  <w:style w:type="paragraph" w:styleId="00000a">
    <w:name w:val="heading 2"/>
    <w:basedOn w:val="000002"/>
    <w:next w:val="000002"/>
    <w:link w:val="00000b"/>
    <w:uiPriority w:val="9"/>
    <w:unhideWhenUsed w:val="1"/>
    <w:qFormat w:val="1"/>
    <w:rsid w:val="00FC693F"/>
    <w:pPr>
      <w:keepNext w:val="1"/>
      <w:keepLines w:val="1"/>
      <w:spacing w:before="220" w:after="100"/>
      <w:outlineLvl w:val="1"/>
    </w:pPr>
    <w:rPr>
      <w:rFonts w:ascii="Noto Sans CJK SC" w:hAnsi="Noto Sans CJK SC" w:eastAsia="Noto Sans CJK SC" w:asciiTheme="majorHAnsi" w:hAnsiTheme="majorHAnsi" w:eastAsiaTheme="majorEastAsia" w:cstheme="majorBidi"/>
      <w:b w:val="1"/>
      <w:bCs w:val="1"/>
      <w:color w:val="2F75B5"/>
      <w:sz w:val="27"/>
      <w:szCs w:val="26"/>
    </w:rPr>
  </w:style>
  <w:style w:type="table" w:styleId="00005f">
    <w:name w:val="Medium Shading 1"/>
    <w:basedOn w:val="00001a"/>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band1Vert">
      <w:tblPr/>
      <w:tcPr>
        <w:shd w:val="clear" w:color="auto" w:fill="C0C0C0" w:themeFill="text1" w:themeFillTint="3F"/>
      </w:tcPr>
    </w:tblStylePr>
    <w:tblStylePr w:type="firstRow">
      <w:pPr>
        <w:spacing w:before="0" w:after="0" w:line="240" w:lineRule="auto"/>
      </w:pPr>
      <w:rPr>
        <w:b w:val="1"/>
        <w:bCs w:val="1"/>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tblStylePr w:type="firstCol">
      <w:rPr>
        <w:b w:val="1"/>
        <w:bCs w:val="1"/>
      </w:rPr>
    </w:tblStylePr>
    <w:tblStylePr w:type="lastCol">
      <w:rPr>
        <w:b w:val="1"/>
        <w:bCs w:val="1"/>
      </w:rPr>
    </w:tblStylePr>
  </w:style>
  <w:style w:type="table" w:styleId="000085">
    <w:name w:val="Medium Grid 2 Accent 3"/>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nwCell">
      <w:tblPr/>
      <w:tcPr>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firstRow">
      <w:rPr>
        <w:b w:val="1"/>
        <w:bCs w:val="1"/>
        <w:color w:val="000000" w:themeColor="text1"/>
      </w:rPr>
      <w:tblPr/>
      <w:tcPr>
        <w:shd w:val="clear" w:color="auto" w:fill="F5F8EE" w:themeFill="accent3" w:themeFillTint="19"/>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Vert">
      <w:tblPr/>
      <w:tcPr>
        <w:shd w:val="clear" w:color="auto" w:fill="CDDDAC" w:themeFill="accent3"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style>
  <w:style w:type="paragraph" w:styleId="000028">
    <w:name w:val="List"/>
    <w:basedOn w:val="000002"/>
    <w:uiPriority w:val="99"/>
    <w:unhideWhenUsed w:val="1"/>
    <w:rsid w:val="00AA1D8D"/>
    <w:pPr>
      <w:ind w:left="360" w:hanging="360"/>
      <w:contextualSpacing w:val="1"/>
    </w:pPr>
  </w:style>
  <w:style w:type="character" w:styleId="000005" w:default="1">
    <w:name w:val="Default Paragraph Font"/>
    <w:uiPriority w:val="1"/>
    <w:semiHidden w:val="1"/>
    <w:unhideWhenUsed w:val="1"/>
  </w:style>
  <w:style w:type="paragraph" w:styleId="000039">
    <w:name w:val="List Continue 3"/>
    <w:basedOn w:val="000002"/>
    <w:uiPriority w:val="99"/>
    <w:unhideWhenUsed w:val="1"/>
    <w:rsid w:val="0029639D"/>
    <w:pPr>
      <w:spacing w:after="120"/>
      <w:ind w:left="1080"/>
      <w:contextualSpacing w:val="1"/>
    </w:pPr>
  </w:style>
  <w:style w:type="paragraph" w:styleId="000006">
    <w:name w:val="footer"/>
    <w:basedOn w:val="000002"/>
    <w:link w:val="000007"/>
    <w:uiPriority w:val="99"/>
    <w:unhideWhenUsed w:val="1"/>
    <w:rsid w:val="00E618BF"/>
    <w:pPr>
      <w:tabs>
        <w:tab w:val="center" w:pos="4680"/>
        <w:tab w:val="right" w:pos="9360"/>
      </w:tabs>
      <w:spacing w:after="0" w:line="240" w:lineRule="auto"/>
    </w:pPr>
  </w:style>
  <w:style w:type="table" w:styleId="000056">
    <w:name w:val="Light List Accent 5"/>
    <w:basedOn w:val="00001a"/>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Col">
      <w:rPr>
        <w:b w:val="1"/>
        <w:bCs w:val="1"/>
      </w:rPr>
    </w:tblStylePr>
    <w:tblStylePr w:type="firstCol">
      <w:rPr>
        <w:b w:val="1"/>
        <w:bCs w:val="1"/>
      </w:r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firstRow">
      <w:pPr>
        <w:spacing w:before="0" w:after="0" w:line="240" w:lineRule="auto"/>
      </w:pPr>
      <w:rPr>
        <w:b w:val="1"/>
        <w:bCs w:val="1"/>
        <w:color w:val="FFFFFF" w:themeColor="background1"/>
      </w:rPr>
      <w:tblPr/>
      <w:tcPr>
        <w:shd w:val="clear" w:color="auto" w:fill="4BACC6" w:themeFill="accent5"/>
      </w:tcPr>
    </w:tblStylePr>
  </w:style>
  <w:style w:type="paragraph" w:styleId="00002c">
    <w:name w:val="List Bullet"/>
    <w:basedOn w:val="000002"/>
    <w:uiPriority w:val="99"/>
    <w:unhideWhenUsed w:val="1"/>
    <w:rsid w:val="00326F90"/>
    <w:pPr>
      <w:numPr>
        <w:numId w:val="4"/>
      </w:numPr>
      <w:contextualSpacing w:val="1"/>
    </w:pPr>
  </w:style>
  <w:style w:type="table" w:styleId="00007b">
    <w:name w:val="Medium Grid 1"/>
    <w:basedOn w:val="00001a"/>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lastCol">
      <w:rPr>
        <w:b w:val="1"/>
        <w:bCs w:val="1"/>
      </w:rPr>
    </w:tblStylePr>
    <w:tblStylePr w:type="lastRow">
      <w:rPr>
        <w:b w:val="1"/>
        <w:bCs w:val="1"/>
      </w:rPr>
      <w:tblPr/>
      <w:tcPr>
        <w:tcBorders>
          <w:top w:val="single" w:color="404040" w:themeColor="text1" w:themeTint="BF" w:sz="18" w:space="0"/>
        </w:tcBorders>
      </w:tcPr>
    </w:tblStylePr>
    <w:tblStylePr w:type="firstRow">
      <w:rPr>
        <w:b w:val="1"/>
        <w:bCs w:val="1"/>
      </w:rPr>
    </w:tblStylePr>
    <w:tblStylePr w:type="firstCol">
      <w:rPr>
        <w:b w:val="1"/>
        <w:bCs w:val="1"/>
      </w:rPr>
    </w:tblStylePr>
    <w:tblStylePr w:type="band1Horz">
      <w:tblPr/>
      <w:tcPr>
        <w:shd w:val="clear" w:color="auto" w:fill="808080" w:themeFill="text1" w:themeFillTint="7F"/>
      </w:tcPr>
    </w:tblStylePr>
    <w:tblStylePr w:type="band1Vert">
      <w:tblPr/>
      <w:tcPr>
        <w:shd w:val="clear" w:color="auto" w:fill="808080" w:themeFill="text1" w:themeFillTint="7F"/>
      </w:tcPr>
    </w:tblStylePr>
  </w:style>
  <w:style w:type="character" w:styleId="00003b" w:customStyle="1">
    <w:name w:val="Macro Text Char"/>
    <w:basedOn w:val="000005"/>
    <w:link w:val="00003a"/>
    <w:uiPriority w:val="99"/>
    <w:rsid w:val="0029639D"/>
    <w:rPr>
      <w:rFonts w:ascii="Courier" w:hAnsi="Courier"/>
      <w:sz w:val="20"/>
      <w:szCs w:val="20"/>
    </w:rPr>
  </w:style>
  <w:style w:type="table" w:styleId="000069">
    <w:name w:val="Medium Shading 2 Accent 3"/>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D8D8D8" w:themeFill="background1" w:themeFillShade="D8"/>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val="1"/>
        <w:bCs w:val="1"/>
        <w:color w:val="FFFFFF" w:themeColor="background1"/>
      </w:rPr>
      <w:tblPr/>
      <w:tcPr>
        <w:tcBorders>
          <w:left w:val="nil"/>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neCell">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style>
  <w:style w:type="table" w:styleId="0000aa">
    <w:name w:val="Colorful Grid Accent 5"/>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band1Vert">
      <w:tblPr/>
      <w:tcPr>
        <w:shd w:val="clear" w:color="auto" w:fill="A5D5E2" w:themeFill="accent5" w:themeFillTint="7F"/>
      </w:tcPr>
    </w:tblStylePr>
    <w:tblStylePr w:type="band1Horz">
      <w:tblPr/>
      <w:tcPr>
        <w:shd w:val="clear" w:color="auto" w:fill="A5D5E2" w:themeFill="accent5" w:themeFillTint="7F"/>
      </w:tcPr>
    </w:tblStylePr>
    <w:tblStylePr w:type="lastRow">
      <w:rPr>
        <w:b w:val="1"/>
        <w:bCs w:val="1"/>
        <w:color w:val="000000" w:themeColor="text1"/>
      </w:rPr>
      <w:tblPr/>
      <w:tcPr>
        <w:shd w:val="clear" w:color="auto" w:fill="B6DDE8" w:themeFill="accent5" w:themeFillTint="66"/>
      </w:tcPr>
    </w:tblStylePr>
    <w:tblStylePr w:type="firstRow">
      <w:rPr>
        <w:b w:val="1"/>
        <w:bCs w:val="1"/>
      </w:rPr>
      <w:tblPr/>
      <w:tcPr>
        <w:shd w:val="clear" w:color="auto" w:fill="B6DDE8" w:themeFill="accent5" w:themeFillTint="66"/>
      </w:tcPr>
    </w:tblStylePr>
    <w:tblStylePr w:type="lastCol">
      <w:rPr>
        <w:color w:val="FFFFFF" w:themeColor="background1"/>
      </w:rPr>
      <w:tblPr/>
      <w:tcPr>
        <w:shd w:val="clear" w:color="auto" w:fill="31849B" w:themeFill="accent5" w:themeFillShade="BF"/>
      </w:tcPr>
    </w:tblStylePr>
    <w:tblStylePr w:type="firstCol">
      <w:rPr>
        <w:color w:val="FFFFFF" w:themeColor="background1"/>
      </w:rPr>
      <w:tblPr/>
      <w:tcPr>
        <w:shd w:val="clear" w:color="auto" w:fill="31849B" w:themeFill="accent5" w:themeFillShade="BF"/>
      </w:tcPr>
    </w:tblStylePr>
  </w:style>
  <w:style w:type="paragraph" w:styleId="000022">
    <w:name w:val="Body Text"/>
    <w:basedOn w:val="000002"/>
    <w:link w:val="000023"/>
    <w:uiPriority w:val="99"/>
    <w:unhideWhenUsed w:val="1"/>
    <w:rsid w:val="00AA1D8D"/>
    <w:pPr>
      <w:spacing w:after="120"/>
    </w:pPr>
  </w:style>
  <w:style w:type="table" w:styleId="000079">
    <w:name w:val="Medium List 2 Accent 5"/>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band1Horz">
      <w:tblPr/>
      <w:tcPr>
        <w:tcBorders>
          <w:top w:val="nil"/>
          <w:bottom w:val="nil"/>
          <w:insideH w:val="nil"/>
          <w:insideV w:val="nil"/>
        </w:tcBorders>
        <w:shd w:val="clear" w:color="auto" w:fill="D2EAF1" w:themeFill="accent5" w:themeFillTint="3F"/>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swCell">
      <w:tblPr/>
      <w:tcPr>
        <w:tcBorders>
          <w:top w:val="nil"/>
        </w:tcBorders>
      </w:tcPr>
    </w:tblStyle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style>
  <w:style w:type="table" w:styleId="00006c">
    <w:name w:val="Medium Shading 2 Accent 6"/>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val="1"/>
        <w:bCs w:val="1"/>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paragraph" w:styleId="000036">
    <w:name w:val="List Number 3"/>
    <w:basedOn w:val="000002"/>
    <w:uiPriority w:val="99"/>
    <w:unhideWhenUsed w:val="1"/>
    <w:rsid w:val="0029639D"/>
    <w:pPr>
      <w:numPr>
        <w:numId w:val="5"/>
      </w:numPr>
      <w:contextualSpacing w:val="1"/>
    </w:pPr>
  </w:style>
  <w:style w:type="table" w:styleId="0000a1">
    <w:name w:val="Colorful List Accent 3"/>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lastCol">
      <w:rPr>
        <w:b w:val="1"/>
        <w:bCs w:val="1"/>
      </w:rPr>
    </w:tblStylePr>
    <w:tblStylePr w:type="band1Horz">
      <w:tblPr/>
      <w:tcPr>
        <w:shd w:val="clear" w:color="auto" w:fill="EAF1DD" w:themeFill="accent3" w:themeFillTint="33"/>
      </w:tcPr>
    </w:tblStylePr>
    <w:tblStylePr w:type="band1Vert">
      <w:tblPr/>
      <w:tcPr>
        <w:tcBorders>
          <w:top w:val="nil"/>
          <w:left w:val="nil"/>
          <w:bottom w:val="nil"/>
          <w:right w:val="nil"/>
          <w:insideH w:val="nil"/>
          <w:insideV w:val="nil"/>
        </w:tcBorders>
        <w:shd w:val="clear" w:color="auto" w:fill="E6EED5" w:themeFill="accent3" w:themeFillTint="3F"/>
      </w:tcPr>
    </w:tblStylePr>
    <w:tblStylePr w:type="lastRow">
      <w:rPr>
        <w:b w:val="1"/>
        <w:bCs w:val="1"/>
        <w:color w:val="664E82" w:themeColor="accent4" w:themeShade="CC"/>
      </w:rPr>
      <w:tblPr/>
      <w:tcPr>
        <w:tcBorders>
          <w:top w:val="single" w:color="000000" w:themeColor="text1" w:sz="12" w:space="0"/>
        </w:tcBorders>
        <w:shd w:val="clear" w:color="auto" w:fill="FFFFFF" w:themeFill="background1"/>
      </w:tcPr>
    </w:tblStylePr>
    <w:tblStylePr w:type="fir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664E82" w:themeFill="accent4" w:themeFillShade="CC"/>
      </w:tcPr>
    </w:tblStylePr>
  </w:style>
  <w:style w:type="table" w:styleId="00008b">
    <w:name w:val="Medium Grid 3 Accent 2"/>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style>
  <w:style w:type="numbering" w:styleId="00001b" w:default="1">
    <w:name w:val="No List"/>
    <w:uiPriority w:val="99"/>
    <w:semiHidden w:val="1"/>
    <w:unhideWhenUsed w:val="1"/>
  </w:style>
  <w:style w:type="table" w:styleId="000083">
    <w:name w:val="Medium Grid 2 Accent 1"/>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val="1"/>
        <w:bCs w:val="1"/>
        <w:color w:val="000000" w:themeColor="text1"/>
      </w:rPr>
      <w:tblPr/>
      <w:tcPr>
        <w:shd w:val="clear" w:color="auto" w:fill="EDF2F8" w:themeFill="accent1" w:themeFillTint="19"/>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nwCell">
      <w:tblPr/>
      <w:tcPr>
        <w:shd w:val="clear" w:color="auto" w:fill="FFFFFF" w:themeFill="background1"/>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style>
  <w:style w:type="table" w:styleId="00009b">
    <w:name w:val="Colorful Shading Accent 4"/>
    <w:basedOn w:val="00001a"/>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band1Vert">
      <w:tblPr/>
      <w:tcPr>
        <w:shd w:val="clear" w:color="auto" w:fill="CCC0D9" w:themeFill="accent4" w:themeFillTint="66"/>
      </w:tcPr>
    </w:tblStylePr>
    <w:tblStylePr w:type="neCell">
      <w:rPr>
        <w:color w:val="000000" w:themeColor="text1"/>
      </w:r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Horz">
      <w:tblPr/>
      <w:tcPr>
        <w:shd w:val="clear" w:color="auto" w:fill="BFB1D0" w:themeFill="accent4" w:themeFillTint="7F"/>
      </w:tcPr>
    </w:tblStylePr>
    <w:tblStylePr w:type="lastRow">
      <w:rPr>
        <w:b w:val="1"/>
        <w:bCs w:val="1"/>
        <w:color w:val="FFFFFF" w:themeColor="background1"/>
      </w:rPr>
      <w:tblPr/>
      <w:tcPr>
        <w:tcBorders>
          <w:top w:val="single" w:color="FFFFFF" w:themeColor="background1" w:sz="6" w:space="0"/>
        </w:tcBorders>
        <w:shd w:val="clear" w:color="auto" w:fill="4C3B62" w:themeFill="accent4" w:themeFillShade="99"/>
      </w:tcPr>
    </w:tblStylePr>
    <w:tblStylePr w:type="nwCell">
      <w:rPr>
        <w:color w:val="000000" w:themeColor="text1"/>
      </w:r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firstRow">
      <w:rPr>
        <w:b w:val="1"/>
        <w:bCs w:val="1"/>
      </w:rPr>
      <w:tblPr/>
      <w:tcPr>
        <w:tcBorders>
          <w:top w:val="nil"/>
          <w:left w:val="nil"/>
          <w:bottom w:val="single" w:color="9BBB59" w:themeColor="accent3" w:sz="24" w:space="0"/>
          <w:right w:val="nil"/>
          <w:insideH w:val="nil"/>
          <w:insideV w:val="nil"/>
        </w:tcBorders>
        <w:shd w:val="clear" w:color="auto" w:fill="FFFFFF" w:themeFill="background1"/>
      </w:tcPr>
    </w:tblStylePr>
  </w:style>
  <w:style w:type="table" w:styleId="0000a9">
    <w:name w:val="Colorful Grid Accent 4"/>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band1Horz">
      <w:tblPr/>
      <w:tcPr>
        <w:shd w:val="clear" w:color="auto" w:fill="BFB1D0" w:themeFill="accent4" w:themeFillTint="7F"/>
      </w:tcPr>
    </w:tblStylePr>
    <w:tblStylePr w:type="band1Vert">
      <w:tblPr/>
      <w:tcPr>
        <w:shd w:val="clear" w:color="auto" w:fill="BFB1D0" w:themeFill="accent4" w:themeFillTint="7F"/>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lastRow">
      <w:rPr>
        <w:b w:val="1"/>
        <w:bCs w:val="1"/>
        <w:color w:val="000000" w:themeColor="text1"/>
      </w:rPr>
      <w:tblPr/>
      <w:tcPr>
        <w:shd w:val="clear" w:color="auto" w:fill="CCC0D9" w:themeFill="accent4" w:themeFillTint="66"/>
      </w:tcPr>
    </w:tblStylePr>
    <w:tblStylePr w:type="firstRow">
      <w:rPr>
        <w:b w:val="1"/>
        <w:bCs w:val="1"/>
      </w:rPr>
      <w:tblPr/>
      <w:tcPr>
        <w:shd w:val="clear" w:color="auto" w:fill="CCC0D9" w:themeFill="accent4" w:themeFillTint="66"/>
      </w:tcPr>
    </w:tblStylePr>
  </w:style>
  <w:style w:type="table" w:styleId="00008d">
    <w:name w:val="Medium Grid 3 Accent 4"/>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00001a" w:default="1">
    <w:name w:val="Normal Table"/>
    <w:uiPriority w:val="99"/>
    <w:semiHidden w:val="1"/>
    <w:unhideWhenUsed w:val="1"/>
    <w:tblPr>
      <w:tblInd w:w="0" w:type="dxa"/>
      <w:tblCellMar>
        <w:top w:w="0" w:type="dxa"/>
        <w:left w:w="108" w:type="dxa"/>
        <w:bottom w:w="0" w:type="dxa"/>
        <w:right w:w="108" w:type="dxa"/>
      </w:tblCellMar>
    </w:tblPr>
  </w:style>
  <w:style w:type="table" w:styleId="00008c">
    <w:name w:val="Medium Grid 3 Accent 3"/>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000099">
    <w:name w:val="Colorful Shading Accent 2"/>
    <w:basedOn w:val="00001a"/>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band1Horz">
      <w:tblPr/>
      <w:tcPr>
        <w:shd w:val="clear" w:color="auto" w:fill="DFA7A6" w:themeFill="accent2" w:themeFillTint="7F"/>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Row">
      <w:rPr>
        <w:b w:val="1"/>
        <w:bCs w:val="1"/>
        <w:color w:val="FFFFFF" w:themeColor="background1"/>
      </w:rPr>
      <w:tblPr/>
      <w:tcPr>
        <w:tcBorders>
          <w:top w:val="single" w:color="FFFFFF" w:themeColor="background1" w:sz="6" w:space="0"/>
        </w:tcBorders>
        <w:shd w:val="clear" w:color="auto" w:fill="772C2A" w:themeFill="accent2" w:themeFillShade="99"/>
      </w:tcPr>
    </w:tblStylePr>
    <w:tblStylePr w:type="nwCell">
      <w:rPr>
        <w:color w:val="000000" w:themeColor="text1"/>
      </w:r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neCell">
      <w:rPr>
        <w:color w:val="000000" w:themeColor="text1"/>
      </w:rPr>
    </w:tblStylePr>
  </w:style>
  <w:style w:type="paragraph" w:styleId="000012">
    <w:name w:val="heading 6"/>
    <w:basedOn w:val="000002"/>
    <w:next w:val="000002"/>
    <w:link w:val="000013"/>
    <w:uiPriority w:val="9"/>
    <w:semiHidden w:val="1"/>
    <w:unhideWhenUsed w:val="1"/>
    <w:qFormat w:val="1"/>
    <w:rsid w:val="00FC693F"/>
    <w:pPr>
      <w:keepNext w:val="1"/>
      <w:keepLines w:val="1"/>
      <w:spacing w:before="200" w:after="0"/>
      <w:outlineLvl w:val="5"/>
    </w:pPr>
    <w:rPr>
      <w:rFonts w:asciiTheme="majorHAnsi" w:hAnsiTheme="majorHAnsi" w:eastAsiaTheme="majorEastAsia" w:cstheme="majorBidi"/>
      <w:i w:val="1"/>
      <w:iCs w:val="1"/>
      <w:color w:val="243F60" w:themeColor="accent1" w:themeShade="7F"/>
    </w:rPr>
  </w:style>
  <w:style w:type="character" w:styleId="000017" w:customStyle="1">
    <w:name w:val="Heading 8 Char"/>
    <w:basedOn w:val="000005"/>
    <w:link w:val="000016"/>
    <w:uiPriority w:val="9"/>
    <w:semiHidden w:val="1"/>
    <w:rsid w:val="00FC693F"/>
    <w:rPr>
      <w:rFonts w:asciiTheme="majorHAnsi" w:hAnsiTheme="majorHAnsi" w:eastAsiaTheme="majorEastAsia" w:cstheme="majorBidi"/>
      <w:color w:val="4F81BD" w:themeColor="accent1"/>
      <w:sz w:val="20"/>
      <w:szCs w:val="20"/>
    </w:rPr>
  </w:style>
  <w:style w:type="character" w:styleId="00000b" w:customStyle="1">
    <w:name w:val="Heading 2 Char"/>
    <w:basedOn w:val="000005"/>
    <w:link w:val="00000a"/>
    <w:uiPriority w:val="9"/>
    <w:rsid w:val="00FC693F"/>
    <w:rPr>
      <w:rFonts w:asciiTheme="majorHAnsi" w:hAnsiTheme="majorHAnsi" w:eastAsiaTheme="majorEastAsia" w:cstheme="majorBidi"/>
      <w:b w:val="1"/>
      <w:bCs w:val="1"/>
      <w:color w:val="4F81BD" w:themeColor="accent1"/>
      <w:sz w:val="26"/>
      <w:szCs w:val="26"/>
    </w:rPr>
  </w:style>
  <w:style w:type="table" w:styleId="000055">
    <w:name w:val="Light List Accent 4"/>
    <w:basedOn w:val="00001a"/>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Col">
      <w:rPr>
        <w:b w:val="1"/>
        <w:bCs w:val="1"/>
      </w:rPr>
    </w:tblStylePr>
    <w:tblStylePr w:type="lastRow">
      <w:pPr>
        <w:spacing w:before="0" w:after="0" w:line="240" w:lineRule="auto"/>
      </w:pPr>
      <w:rPr>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Row">
      <w:pPr>
        <w:spacing w:before="0" w:after="0" w:line="240" w:lineRule="auto"/>
      </w:pPr>
      <w:rPr>
        <w:b w:val="1"/>
        <w:bCs w:val="1"/>
        <w:color w:val="FFFFFF" w:themeColor="background1"/>
      </w:rPr>
      <w:tblPr/>
      <w:tcPr>
        <w:shd w:val="clear" w:color="auto" w:fill="8064A2" w:themeFill="accent4"/>
      </w:tcPr>
    </w:tblStylePr>
    <w:tblStylePr w:type="firstCol">
      <w:rPr>
        <w:b w:val="1"/>
        <w:bCs w:val="1"/>
      </w:rPr>
    </w:tblStylePr>
  </w:style>
  <w:style w:type="table" w:styleId="00005e">
    <w:name w:val="Light Grid Accent 6"/>
    <w:basedOn w:val="00001a"/>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val="1"/>
        <w:bCs w:val="1"/>
      </w:r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Col">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style>
  <w:style w:type="paragraph" w:styleId="00001d">
    <w:name w:val="Title"/>
    <w:basedOn w:val="000002"/>
    <w:next w:val="000002"/>
    <w:link w:val="00001e"/>
    <w:uiPriority w:val="10"/>
    <w:qFormat w:val="1"/>
    <w:rsid w:val="00FC693F"/>
    <w:pPr>
      <w:keepNext w:val="1"/>
      <w:pBdr>
        <w:bottom w:val="single" w:color="4F81BD" w:themeColor="accent1" w:sz="8" w:space="4"/>
      </w:pBdr>
      <w:spacing w:before="0" w:after="160" w:line="240" w:lineRule="auto"/>
      <w:contextualSpacing w:val="1"/>
    </w:pPr>
    <w:rPr>
      <w:rFonts w:ascii="Noto Sans CJK SC" w:hAnsi="Noto Sans CJK SC" w:eastAsia="Noto Sans CJK SC" w:asciiTheme="majorHAnsi" w:hAnsiTheme="majorHAnsi" w:eastAsiaTheme="majorEastAsia" w:cstheme="majorBidi"/>
      <w:b w:val="1"/>
      <w:color w:val="1F4E78"/>
      <w:spacing w:val="5"/>
      <w:kern w:val="28"/>
      <w:sz w:val="50"/>
      <w:szCs w:val="52"/>
    </w:rPr>
  </w:style>
  <w:style w:type="paragraph" w:styleId="000041">
    <w:name w:val="Intense Quote"/>
    <w:basedOn w:val="000002"/>
    <w:next w:val="000002"/>
    <w:link w:val="000042"/>
    <w:uiPriority w:val="30"/>
    <w:qFormat w:val="1"/>
    <w:rsid w:val="00FC693F"/>
    <w:pPr>
      <w:pBdr>
        <w:bottom w:val="single" w:color="4F81BD" w:themeColor="accent1" w:sz="4" w:space="4"/>
      </w:pBdr>
      <w:spacing w:before="200" w:after="280"/>
      <w:ind w:left="936" w:right="936"/>
    </w:pPr>
    <w:rPr>
      <w:b w:val="1"/>
      <w:bCs w:val="1"/>
      <w:i w:val="1"/>
      <w:iCs w:val="1"/>
      <w:color w:val="4F81BD" w:themeColor="accent1"/>
    </w:rPr>
  </w:style>
  <w:style w:type="table" w:styleId="00006b">
    <w:name w:val="Medium Shading 2 Accent 5"/>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band1Horz">
      <w:tblPr/>
      <w:tcPr>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Col">
      <w:rPr>
        <w:b w:val="1"/>
        <w:bCs w:val="1"/>
        <w:color w:val="FFFFFF" w:themeColor="background1"/>
      </w:rPr>
      <w:tblPr/>
      <w:tcPr>
        <w:tcBorders>
          <w:left w:val="nil"/>
          <w:right w:val="nil"/>
          <w:insideH w:val="nil"/>
          <w:insideV w:val="nil"/>
        </w:tcBorders>
        <w:shd w:val="clear" w:color="auto" w:fill="4BACC6" w:themeFill="accent5"/>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character" w:styleId="000004" w:customStyle="1">
    <w:name w:val="Header Char"/>
    <w:basedOn w:val="000005"/>
    <w:link w:val="000003"/>
    <w:uiPriority w:val="99"/>
    <w:rsid w:val="00E618BF"/>
  </w:style>
  <w:style w:type="paragraph" w:styleId="00002e">
    <w:name w:val="List Bullet 2"/>
    <w:basedOn w:val="000002"/>
    <w:uiPriority w:val="99"/>
    <w:unhideWhenUsed w:val="1"/>
    <w:rsid w:val="00326F90"/>
    <w:pPr>
      <w:numPr>
        <w:numId w:val="6"/>
      </w:numPr>
      <w:contextualSpacing w:val="1"/>
    </w:pPr>
  </w:style>
  <w:style w:type="table" w:styleId="000097">
    <w:name w:val="Colorful Shading"/>
    <w:basedOn w:val="00001a"/>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neCell">
      <w:rPr>
        <w:color w:val="000000" w:themeColor="text1"/>
      </w:rPr>
    </w:tblStylePr>
    <w:tblStylePr w:type="lastRow">
      <w:rPr>
        <w:b w:val="1"/>
        <w:bCs w:val="1"/>
        <w:color w:val="FFFFFF" w:themeColor="background1"/>
      </w:rPr>
      <w:tblPr/>
      <w:tcPr>
        <w:tcBorders>
          <w:top w:val="single" w:color="FFFFFF" w:themeColor="background1" w:sz="6" w:space="0"/>
        </w:tcBorders>
        <w:shd w:val="clear" w:color="auto" w:fill="000000" w:themeFill="text1" w:themeFillShade="99"/>
      </w:tcPr>
    </w:tblStylePr>
    <w:tblStylePr w:type="nwCell">
      <w:rPr>
        <w:color w:val="000000" w:themeColor="text1"/>
      </w:rPr>
    </w:tblStylePr>
    <w:tblStylePr w:type="band1Vert">
      <w:tblPr/>
      <w:tcPr>
        <w:shd w:val="clear" w:color="auto" w:fill="999999" w:themeFill="text1" w:themeFillTint="66"/>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band1Horz">
      <w:tblPr/>
      <w:tcPr>
        <w:shd w:val="clear" w:color="auto" w:fill="808080" w:themeFill="text1" w:themeFillTint="7F"/>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style>
  <w:style w:type="character" w:styleId="00003d" w:customStyle="1">
    <w:name w:val="Quote Char"/>
    <w:basedOn w:val="000005"/>
    <w:link w:val="00003c"/>
    <w:uiPriority w:val="29"/>
    <w:rsid w:val="00FC693F"/>
    <w:rPr>
      <w:i w:val="1"/>
      <w:iCs w:val="1"/>
      <w:color w:val="000000" w:themeColor="text1"/>
    </w:rPr>
  </w:style>
  <w:style w:type="character" w:styleId="000020" w:customStyle="1">
    <w:name w:val="Subtitle Char"/>
    <w:basedOn w:val="000005"/>
    <w:link w:val="00001f"/>
    <w:uiPriority w:val="11"/>
    <w:rsid w:val="00FC693F"/>
    <w:rPr>
      <w:rFonts w:asciiTheme="majorHAnsi" w:hAnsiTheme="majorHAnsi" w:eastAsiaTheme="majorEastAsia" w:cstheme="majorBidi"/>
      <w:i w:val="1"/>
      <w:iCs w:val="1"/>
      <w:color w:val="4F81BD" w:themeColor="accent1"/>
      <w:spacing w:val="15"/>
      <w:sz w:val="24"/>
      <w:szCs w:val="24"/>
    </w:rPr>
  </w:style>
  <w:style w:type="table" w:styleId="00004b">
    <w:name w:val="Light Shading Accent 1"/>
    <w:basedOn w:val="00001a"/>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fir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band1Horz">
      <w:tblPr/>
      <w:tcPr>
        <w:tcBorders>
          <w:left w:val="nil"/>
          <w:right w:val="nil"/>
          <w:insideH w:val="nil"/>
          <w:insideV w:val="nil"/>
        </w:tcBorders>
        <w:shd w:val="clear" w:color="auto" w:fill="D3DFEE" w:themeFill="accent1" w:themeFillTint="3F"/>
      </w:tcPr>
    </w:tblStylePr>
    <w:tblStylePr w:type="lastCol">
      <w:rPr>
        <w:b w:val="1"/>
        <w:bCs w:val="1"/>
      </w:rPr>
    </w:tblStylePr>
    <w:tblStylePr w:type="band1Vert">
      <w:tblPr/>
      <w:tcPr>
        <w:tcBorders>
          <w:left w:val="nil"/>
          <w:right w:val="nil"/>
          <w:insideH w:val="nil"/>
          <w:insideV w:val="nil"/>
        </w:tcBorders>
        <w:shd w:val="clear" w:color="auto" w:fill="D3DFEE" w:themeFill="accent1" w:themeFillTint="3F"/>
      </w:tcPr>
    </w:tblStylePr>
    <w:tblStylePr w:type="firstCol">
      <w:rPr>
        <w:b w:val="1"/>
        <w:bCs w:val="1"/>
      </w:rPr>
    </w:tblStylePr>
  </w:style>
  <w:style w:type="character" w:styleId="00000f" w:customStyle="1">
    <w:name w:val="Heading 4 Char"/>
    <w:basedOn w:val="000005"/>
    <w:link w:val="00000e"/>
    <w:uiPriority w:val="9"/>
    <w:semiHidden w:val="1"/>
    <w:rsid w:val="00FC693F"/>
    <w:rPr>
      <w:rFonts w:asciiTheme="majorHAnsi" w:hAnsiTheme="majorHAnsi" w:eastAsiaTheme="majorEastAsia" w:cstheme="majorBidi"/>
      <w:b w:val="1"/>
      <w:bCs w:val="1"/>
      <w:i w:val="1"/>
      <w:iCs w:val="1"/>
      <w:color w:val="4F81BD" w:themeColor="accent1"/>
    </w:rPr>
  </w:style>
  <w:style w:type="table" w:styleId="0000a5">
    <w:name w:val="Colorful Grid"/>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tblStylePr w:type="firstRow">
      <w:rPr>
        <w:b w:val="1"/>
        <w:bCs w:val="1"/>
      </w:rPr>
      <w:tblPr/>
      <w:tcPr>
        <w:shd w:val="clear" w:color="auto" w:fill="999999" w:themeFill="text1" w:themeFillTint="66"/>
      </w:tcPr>
    </w:tblStylePr>
    <w:tblStylePr w:type="lastRow">
      <w:rPr>
        <w:b w:val="1"/>
        <w:bCs w:val="1"/>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style>
  <w:style w:type="table" w:styleId="000082">
    <w:name w:val="Medium Grid 2"/>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nwCell">
      <w:tblPr/>
      <w:tcPr>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E6E6E6" w:themeFill="text1" w:themeFillTint="19"/>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band1Vert">
      <w:tblPr/>
      <w:tcPr>
        <w:shd w:val="clear" w:color="auto" w:fill="808080" w:themeFill="text1" w:themeFillTint="7F"/>
      </w:tcPr>
    </w:tblStylePr>
  </w:style>
  <w:style w:type="table" w:styleId="0000ab">
    <w:name w:val="Colorful Grid Accent 6"/>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lastCol">
      <w:rPr>
        <w:color w:val="FFFFFF" w:themeColor="background1"/>
      </w:rPr>
      <w:tblPr/>
      <w:tcPr>
        <w:shd w:val="clear" w:color="auto" w:fill="E36C0A" w:themeFill="accent6" w:themeFillShade="BF"/>
      </w:tcPr>
    </w:tblStylePr>
    <w:tblStylePr w:type="firstRow">
      <w:rPr>
        <w:b w:val="1"/>
        <w:bCs w:val="1"/>
      </w:rPr>
      <w:tblPr/>
      <w:tcPr>
        <w:shd w:val="clear" w:color="auto" w:fill="FBD4B4" w:themeFill="accent6" w:themeFillTint="66"/>
      </w:tcPr>
    </w:tblStylePr>
    <w:tblStylePr w:type="lastRow">
      <w:rPr>
        <w:b w:val="1"/>
        <w:bCs w:val="1"/>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band1Horz">
      <w:tblPr/>
      <w:tcPr>
        <w:shd w:val="clear" w:color="auto" w:fill="FBCAA2" w:themeFill="accent6" w:themeFillTint="7F"/>
      </w:tcPr>
    </w:tblStylePr>
    <w:tblStylePr w:type="band1Vert">
      <w:tblPr/>
      <w:tcPr>
        <w:shd w:val="clear" w:color="auto" w:fill="FBCAA2" w:themeFill="accent6" w:themeFillTint="7F"/>
      </w:tcPr>
    </w:tblStylePr>
  </w:style>
  <w:style w:type="table" w:styleId="00007a">
    <w:name w:val="Medium List 2 Accent 6"/>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swCell">
      <w:tblPr/>
      <w:tcPr>
        <w:tcBorders>
          <w:top w:val="nil"/>
        </w:tcBorders>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nwCell">
      <w:tblPr/>
      <w:tcPr>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style>
  <w:style w:type="table" w:styleId="000096">
    <w:name w:val="Dark List Accent 6"/>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band1Horz">
      <w:tblPr/>
      <w:tcPr>
        <w:tcBorders>
          <w:top w:val="nil"/>
          <w:left w:val="nil"/>
          <w:bottom w:val="nil"/>
          <w:right w:val="nil"/>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style>
  <w:style w:type="table" w:styleId="000062">
    <w:name w:val="Medium Shading 1 Accent 3"/>
    <w:basedOn w:val="00001a"/>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Col">
      <w:rPr>
        <w:b w:val="1"/>
        <w:bCs w:val="1"/>
      </w:rPr>
    </w:tblStylePr>
    <w:tblStylePr w:type="lastRow">
      <w:pPr>
        <w:spacing w:before="0" w:after="0" w:line="240" w:lineRule="auto"/>
      </w:pPr>
      <w:rPr>
        <w:b w:val="1"/>
        <w:bCs w:val="1"/>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Row">
      <w:pPr>
        <w:spacing w:before="0" w:after="0" w:line="240" w:lineRule="auto"/>
      </w:pPr>
      <w:rPr>
        <w:b w:val="1"/>
        <w:bCs w:val="1"/>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Col">
      <w:rPr>
        <w:b w:val="1"/>
        <w:bCs w:val="1"/>
      </w:r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tblStylePr w:type="band1Vert">
      <w:tblPr/>
      <w:tcPr>
        <w:shd w:val="clear" w:color="auto" w:fill="E6EED5" w:themeFill="accent3" w:themeFillTint="3F"/>
      </w:tcPr>
    </w:tblStylePr>
  </w:style>
  <w:style w:type="paragraph" w:styleId="000002" w:default="1">
    <w:name w:val="Normal"/>
    <w:qFormat w:val="1"/>
    <w:rsid w:val="00FC693F"/>
    <w:pPr>
      <w:spacing w:after="120" w:line="307" w:lineRule="auto"/>
    </w:pPr>
    <w:rPr>
      <w:rFonts w:ascii="Noto Sans CJK SC" w:hAnsi="Noto Sans CJK SC" w:eastAsia="Noto Sans CJK SC"/>
      <w:sz w:val="21"/>
    </w:rPr>
  </w:style>
  <w:style w:type="table" w:styleId="000086">
    <w:name w:val="Medium Grid 2 Accent 4"/>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nwCell">
      <w:tblPr/>
      <w:tcPr>
        <w:shd w:val="clear" w:color="auto" w:fill="FFFFFF" w:themeFill="background1"/>
      </w:tcPr>
    </w:tblStylePr>
    <w:tblStylePr w:type="band1Vert">
      <w:tblPr/>
      <w:tcPr>
        <w:shd w:val="clear" w:color="auto" w:fill="BFB1D0" w:themeFill="accent4"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F2EFF6" w:themeFill="accent4" w:themeFillTint="19"/>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style>
  <w:style w:type="character" w:styleId="00000d" w:customStyle="1">
    <w:name w:val="Heading 3 Char"/>
    <w:basedOn w:val="000005"/>
    <w:link w:val="00000c"/>
    <w:uiPriority w:val="9"/>
    <w:rsid w:val="00FC693F"/>
    <w:rPr>
      <w:rFonts w:asciiTheme="majorHAnsi" w:hAnsiTheme="majorHAnsi" w:eastAsiaTheme="majorEastAsia" w:cstheme="majorBidi"/>
      <w:b w:val="1"/>
      <w:bCs w:val="1"/>
      <w:color w:val="4F81BD" w:themeColor="accent1"/>
    </w:rPr>
  </w:style>
  <w:style w:type="character" w:styleId="000009" w:customStyle="1">
    <w:name w:val="Heading 1 Char"/>
    <w:basedOn w:val="000005"/>
    <w:link w:val="000008"/>
    <w:uiPriority w:val="9"/>
    <w:rsid w:val="00FC693F"/>
    <w:rPr>
      <w:rFonts w:asciiTheme="majorHAnsi" w:hAnsiTheme="majorHAnsi" w:eastAsiaTheme="majorEastAsia" w:cstheme="majorBidi"/>
      <w:b w:val="1"/>
      <w:bCs w:val="1"/>
      <w:color w:val="365F91" w:themeColor="accent1" w:themeShade="BF"/>
      <w:sz w:val="28"/>
      <w:szCs w:val="28"/>
    </w:rPr>
  </w:style>
  <w:style w:type="paragraph" w:styleId="00001f">
    <w:name w:val="Subtitle"/>
    <w:basedOn w:val="000002"/>
    <w:next w:val="000002"/>
    <w:link w:val="000020"/>
    <w:uiPriority w:val="11"/>
    <w:qFormat w:val="1"/>
    <w:rsid w:val="00FC693F"/>
    <w:pPr>
      <w:numPr>
        <w:ilvl w:val="1"/>
      </w:numPr>
    </w:pPr>
    <w:rPr>
      <w:rFonts w:asciiTheme="majorHAnsi" w:hAnsiTheme="majorHAnsi" w:eastAsiaTheme="majorEastAsia" w:cstheme="majorBidi"/>
      <w:i w:val="1"/>
      <w:iCs w:val="1"/>
      <w:color w:val="4F81BD" w:themeColor="accent1"/>
      <w:spacing w:val="15"/>
      <w:sz w:val="24"/>
      <w:szCs w:val="24"/>
    </w:rPr>
  </w:style>
  <w:style w:type="table" w:styleId="00009c">
    <w:name w:val="Colorful Shading Accent 5"/>
    <w:basedOn w:val="00001a"/>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neCell">
      <w:rPr>
        <w:color w:val="000000" w:themeColor="text1"/>
      </w:rPr>
    </w:tblStylePr>
    <w:tblStylePr w:type="nwCell">
      <w:rPr>
        <w:color w:val="000000" w:themeColor="text1"/>
      </w:r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Row">
      <w:rPr>
        <w:b w:val="1"/>
        <w:bCs w:val="1"/>
        <w:color w:val="FFFFFF" w:themeColor="background1"/>
      </w:rPr>
      <w:tblPr/>
      <w:tcPr>
        <w:tcBorders>
          <w:top w:val="single" w:color="FFFFFF" w:themeColor="background1" w:sz="6" w:space="0"/>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firstRow">
      <w:rPr>
        <w:b w:val="1"/>
        <w:bCs w:val="1"/>
      </w:rPr>
      <w:tblPr/>
      <w:tcPr>
        <w:tcBorders>
          <w:top w:val="nil"/>
          <w:left w:val="nil"/>
          <w:bottom w:val="single" w:color="F79646" w:themeColor="accent6" w:sz="24" w:space="0"/>
          <w:right w:val="nil"/>
          <w:insideH w:val="nil"/>
          <w:insideV w:val="nil"/>
        </w:tcBorders>
        <w:shd w:val="clear" w:color="auto" w:fill="FFFFFF" w:themeFill="background1"/>
      </w:tcPr>
    </w:tblStylePr>
  </w:style>
  <w:style w:type="table" w:styleId="0000a8">
    <w:name w:val="Colorful Grid Accent 3"/>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lastCol">
      <w:rPr>
        <w:color w:val="FFFFFF" w:themeColor="background1"/>
      </w:rPr>
      <w:tblPr/>
      <w:tcPr>
        <w:shd w:val="clear" w:color="auto" w:fill="76923C" w:themeFill="accent3" w:themeFillShade="BF"/>
      </w:tcPr>
    </w:tblStylePr>
    <w:tblStylePr w:type="band1Horz">
      <w:tblPr/>
      <w:tcPr>
        <w:shd w:val="clear" w:color="auto" w:fill="CDDDAC" w:themeFill="accent3" w:themeFillTint="7F"/>
      </w:tcPr>
    </w:tblStylePr>
    <w:tblStylePr w:type="lastRow">
      <w:rPr>
        <w:b w:val="1"/>
        <w:bCs w:val="1"/>
        <w:color w:val="000000" w:themeColor="text1"/>
      </w:rPr>
      <w:tblPr/>
      <w:tcPr>
        <w:shd w:val="clear" w:color="auto" w:fill="D6E3BC" w:themeFill="accent3" w:themeFillTint="66"/>
      </w:tcPr>
    </w:tblStylePr>
    <w:tblStylePr w:type="firstRow">
      <w:rPr>
        <w:b w:val="1"/>
        <w:bCs w:val="1"/>
      </w:rPr>
      <w:tblPr/>
      <w:tcPr>
        <w:shd w:val="clear" w:color="auto" w:fill="D6E3BC" w:themeFill="accent3" w:themeFillTint="66"/>
      </w:tcPr>
    </w:tblStylePr>
  </w:style>
  <w:style w:type="table" w:styleId="00004e">
    <w:name w:val="Light Shading Accent 4"/>
    <w:basedOn w:val="00001a"/>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DFD8E8" w:themeFill="accent4" w:themeFillTint="3F"/>
      </w:tcPr>
    </w:tblStylePr>
    <w:tblStylePr w:type="la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band1Horz">
      <w:tblPr/>
      <w:tcPr>
        <w:tcBorders>
          <w:left w:val="nil"/>
          <w:right w:val="nil"/>
          <w:insideH w:val="nil"/>
          <w:insideV w:val="nil"/>
        </w:tcBorders>
        <w:shd w:val="clear" w:color="auto" w:fill="DFD8E8" w:themeFill="accent4" w:themeFillTint="3F"/>
      </w:tcPr>
    </w:tblStylePr>
    <w:tblStylePr w:type="fir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val="1"/>
        <w:bCs w:val="1"/>
      </w:rPr>
    </w:tblStylePr>
    <w:tblStylePr w:type="lastCol">
      <w:rPr>
        <w:b w:val="1"/>
        <w:bCs w:val="1"/>
      </w:rPr>
    </w:tblStylePr>
  </w:style>
  <w:style w:type="character" w:styleId="00003f">
    <w:name w:val="Strong"/>
    <w:basedOn w:val="000005"/>
    <w:uiPriority w:val="22"/>
    <w:qFormat w:val="1"/>
    <w:rsid w:val="00FC693F"/>
    <w:rPr>
      <w:b w:val="1"/>
      <w:bCs w:val="1"/>
    </w:rPr>
  </w:style>
  <w:style w:type="table" w:styleId="00005d">
    <w:name w:val="Light Grid Accent 5"/>
    <w:basedOn w:val="00001a"/>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val="1"/>
        <w:bCs w:val="1"/>
      </w:rPr>
    </w:tblStylePr>
    <w:tblStylePr w:type="firstRow">
      <w:pPr>
        <w:spacing w:before="0" w:after="0" w:line="240" w:lineRule="auto"/>
      </w:pPr>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tblStylePr w:type="lastCol">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style>
  <w:style w:type="table" w:styleId="000051">
    <w:name w:val="Light List"/>
    <w:basedOn w:val="00001a"/>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firstCol">
      <w:rPr>
        <w:b w:val="1"/>
        <w:bCs w:val="1"/>
      </w:rPr>
    </w:tblStylePr>
    <w:tblStylePr w:type="firstRow">
      <w:pPr>
        <w:spacing w:before="0" w:after="0" w:line="240" w:lineRule="auto"/>
      </w:pPr>
      <w:rPr>
        <w:b w:val="1"/>
        <w:bCs w:val="1"/>
        <w:color w:val="FFFFFF" w:themeColor="background1"/>
      </w:rPr>
      <w:tblPr/>
      <w:tcPr>
        <w:shd w:val="clear" w:color="auto" w:fill="000000" w:themeFill="text1"/>
      </w:tcPr>
    </w:tblStylePr>
    <w:tblStylePr w:type="lastRow">
      <w:pPr>
        <w:spacing w:before="0" w:after="0" w:line="240" w:lineRule="auto"/>
      </w:pPr>
      <w:rPr>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lastCol">
      <w:rPr>
        <w:b w:val="1"/>
        <w:bCs w:val="1"/>
      </w:rPr>
    </w:tblStylePr>
  </w:style>
  <w:style w:type="table" w:styleId="000095">
    <w:name w:val="Dark List Accent 5"/>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style>
  <w:style w:type="table" w:styleId="00007f">
    <w:name w:val="Medium Grid 1 Accent 4"/>
    <w:basedOn w:val="00001a"/>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lastCol">
      <w:rPr>
        <w:b w:val="1"/>
        <w:bCs w:val="1"/>
      </w:rPr>
    </w:tblStylePr>
    <w:tblStylePr w:type="firstCol">
      <w:rPr>
        <w:b w:val="1"/>
        <w:bCs w:val="1"/>
      </w:rPr>
    </w:tblStylePr>
    <w:tblStylePr w:type="band1Vert">
      <w:tblPr/>
      <w:tcPr>
        <w:shd w:val="clear" w:color="auto" w:fill="BFB1D0" w:themeFill="accent4" w:themeFillTint="7F"/>
      </w:tcPr>
    </w:tblStylePr>
    <w:tblStylePr w:type="lastRow">
      <w:rPr>
        <w:b w:val="1"/>
        <w:bCs w:val="1"/>
      </w:rPr>
      <w:tblPr/>
      <w:tcPr>
        <w:tcBorders>
          <w:top w:val="single" w:color="9F8AB9" w:themeColor="accent4" w:themeTint="BF" w:sz="18" w:space="0"/>
        </w:tcBorders>
      </w:tcPr>
    </w:tblStylePr>
    <w:tblStylePr w:type="band1Horz">
      <w:tblPr/>
      <w:tcPr>
        <w:shd w:val="clear" w:color="auto" w:fill="BFB1D0" w:themeFill="accent4" w:themeFillTint="7F"/>
      </w:tcPr>
    </w:tblStylePr>
    <w:tblStylePr w:type="firstRow">
      <w:rPr>
        <w:b w:val="1"/>
        <w:bCs w:val="1"/>
      </w:rPr>
    </w:tblStylePr>
  </w:style>
  <w:style w:type="character" w:styleId="000044">
    <w:name w:val="Intense Emphasis"/>
    <w:basedOn w:val="000005"/>
    <w:uiPriority w:val="21"/>
    <w:qFormat w:val="1"/>
    <w:rsid w:val="00FC693F"/>
    <w:rPr>
      <w:b w:val="1"/>
      <w:bCs w:val="1"/>
      <w:i w:val="1"/>
      <w:iCs w:val="1"/>
      <w:color w:val="4F81BD" w:themeColor="accent1"/>
    </w:rPr>
  </w:style>
  <w:style w:type="table" w:styleId="000148">
    <w:name w:val="Colorful Shading Accent 3"/>
    <w:basedOn w:val="0000ce"/>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val="1"/>
        <w:bCs w:val="1"/>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lastRow">
      <w:rPr>
        <w:b w:val="1"/>
        <w:bCs w:val="1"/>
        <w:color w:val="FFFFFF" w:themeColor="background1"/>
      </w:rPr>
      <w:tblPr/>
      <w:tcPr>
        <w:tcBorders>
          <w:top w:val="single" w:color="FFFFFF" w:themeColor="background1" w:sz="6" w:space="0"/>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style>
  <w:style w:type="table" w:styleId="00013d">
    <w:name w:val="Medium Grid 3 Accent 6"/>
    <w:basedOn w:val="0000ce"/>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style>
  <w:style w:type="paragraph" w:styleId="0000bd">
    <w:name w:val="heading 2"/>
    <w:basedOn w:val="0000ba"/>
    <w:next w:val="0000ba"/>
    <w:link w:val="0000be"/>
    <w:uiPriority w:val="9"/>
    <w:unhideWhenUsed w:val="1"/>
    <w:qFormat w:val="1"/>
    <w:rsid w:val="00FC693F"/>
    <w:pPr>
      <w:keepNext w:val="1"/>
      <w:keepLines w:val="1"/>
      <w:spacing w:before="200" w:after="0"/>
      <w:outlineLvl w:val="1"/>
    </w:pPr>
    <w:rPr>
      <w:rFonts w:asciiTheme="majorHAnsi" w:hAnsiTheme="majorHAnsi" w:eastAsiaTheme="majorEastAsia" w:cstheme="majorBidi"/>
      <w:b w:val="1"/>
      <w:bCs w:val="1"/>
      <w:color w:val="4F81BD" w:themeColor="accent1"/>
      <w:sz w:val="26"/>
      <w:szCs w:val="26"/>
    </w:rPr>
  </w:style>
  <w:style w:type="table" w:styleId="000125">
    <w:name w:val="Medium List 2 Accent 3"/>
    <w:basedOn w:val="0000ce"/>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swCell">
      <w:tblPr/>
      <w:tcPr>
        <w:tcBorders>
          <w:top w:val="nil"/>
        </w:tcBorders>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nwCell">
      <w:tblPr/>
      <w:tcPr>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E6EED5" w:themeFill="accent3" w:themeFillTint="3F"/>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style>
  <w:style w:type="paragraph" w:styleId="0000d1">
    <w:name w:val="Title"/>
    <w:basedOn w:val="0000ba"/>
    <w:next w:val="0000ba"/>
    <w:link w:val="0000d2"/>
    <w:uiPriority w:val="10"/>
    <w:qFormat w:val="1"/>
    <w:rsid w:val="00FC693F"/>
    <w:pPr>
      <w:pBdr>
        <w:bottom w:val="single" w:color="4F81BD" w:themeColor="accent1" w:sz="8" w:space="4"/>
      </w:pBdr>
      <w:spacing w:after="300" w:line="240" w:lineRule="auto"/>
      <w:contextualSpacing w:val="1"/>
    </w:pPr>
    <w:rPr>
      <w:rFonts w:asciiTheme="majorHAnsi" w:hAnsiTheme="majorHAnsi" w:eastAsiaTheme="majorEastAsia" w:cstheme="majorBidi"/>
      <w:color w:val="17365D" w:themeColor="text2" w:themeShade="BF"/>
      <w:spacing w:val="5"/>
      <w:kern w:val="28"/>
      <w:sz w:val="52"/>
      <w:szCs w:val="52"/>
    </w:rPr>
  </w:style>
  <w:style w:type="table" w:styleId="00013f">
    <w:name w:val="Dark List Accent 1"/>
    <w:basedOn w:val="0000ce"/>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style>
  <w:style w:type="table" w:styleId="00014a">
    <w:name w:val="Colorful Shading Accent 5"/>
    <w:basedOn w:val="0000ce"/>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val="1"/>
        <w:bCs w:val="1"/>
      </w:rPr>
      <w:tblPr/>
      <w:tcPr>
        <w:tcBorders>
          <w:top w:val="nil"/>
          <w:left w:val="nil"/>
          <w:bottom w:val="single" w:color="F79646" w:themeColor="accent6" w:sz="24" w:space="0"/>
          <w:right w:val="nil"/>
          <w:insideH w:val="nil"/>
          <w:insideV w:val="nil"/>
        </w:tcBorders>
        <w:shd w:val="clear" w:color="auto" w:fill="FFFFFF" w:themeFill="background1"/>
      </w:tcPr>
    </w:tblStylePr>
    <w:tblStylePr w:type="nwCell">
      <w:rPr>
        <w:color w:val="000000" w:themeColor="text1"/>
      </w:r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neCell">
      <w:rPr>
        <w:color w:val="000000" w:themeColor="text1"/>
      </w:rPr>
    </w:tblStylePr>
    <w:tblStylePr w:type="lastRow">
      <w:rPr>
        <w:b w:val="1"/>
        <w:bCs w:val="1"/>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style>
  <w:style w:type="table" w:styleId="00012b">
    <w:name w:val="Medium Grid 1 Accent 2"/>
    <w:basedOn w:val="0000ce"/>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Col">
      <w:rPr>
        <w:b w:val="1"/>
        <w:bCs w:val="1"/>
      </w:rPr>
    </w:tblStylePr>
    <w:tblStylePr w:type="lastRow">
      <w:rPr>
        <w:b w:val="1"/>
        <w:bCs w:val="1"/>
      </w:rPr>
      <w:tblPr/>
      <w:tcPr>
        <w:tcBorders>
          <w:top w:val="single" w:color="CF7B79" w:themeColor="accent2" w:themeTint="BF" w:sz="18" w:space="0"/>
        </w:tcBorders>
      </w:tcPr>
    </w:tblStylePr>
    <w:tblStylePr w:type="band1Vert">
      <w:tblPr/>
      <w:tcPr>
        <w:shd w:val="clear" w:color="auto" w:fill="DFA7A6" w:themeFill="accent2" w:themeFillTint="7F"/>
      </w:tcPr>
    </w:tblStylePr>
    <w:tblStylePr w:type="lastCol">
      <w:rPr>
        <w:b w:val="1"/>
        <w:bCs w:val="1"/>
      </w:rPr>
    </w:tblStylePr>
    <w:tblStylePr w:type="band1Horz">
      <w:tblPr/>
      <w:tcPr>
        <w:shd w:val="clear" w:color="auto" w:fill="DFA7A6" w:themeFill="accent2" w:themeFillTint="7F"/>
      </w:tcPr>
    </w:tblStylePr>
    <w:tblStylePr w:type="firstRow">
      <w:rPr>
        <w:b w:val="1"/>
        <w:bCs w:val="1"/>
      </w:rPr>
    </w:tblStylePr>
  </w:style>
  <w:style w:type="character" w:styleId="0000f3">
    <w:name w:val="Subtle Reference"/>
    <w:basedOn w:val="0000cd"/>
    <w:uiPriority w:val="31"/>
    <w:qFormat w:val="1"/>
    <w:rsid w:val="00FC693F"/>
    <w:rPr>
      <w:smallCaps w:val="1"/>
      <w:color w:val="C0504D" w:themeColor="accent2"/>
      <w:u w:val="single"/>
    </w:rPr>
  </w:style>
  <w:style w:type="table" w:styleId="000157">
    <w:name w:val="Colorful Grid Accent 4"/>
    <w:basedOn w:val="0000ce"/>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Col">
      <w:rPr>
        <w:color w:val="FFFFFF" w:themeColor="background1"/>
      </w:rPr>
      <w:tblPr/>
      <w:tcPr>
        <w:shd w:val="clear" w:color="auto" w:fill="5F497A" w:themeFill="accent4" w:themeFillShade="BF"/>
      </w:tcPr>
    </w:tblStylePr>
    <w:tblStylePr w:type="firstRow">
      <w:rPr>
        <w:b w:val="1"/>
        <w:bCs w:val="1"/>
      </w:rPr>
      <w:tblPr/>
      <w:tcPr>
        <w:shd w:val="clear" w:color="auto" w:fill="CCC0D9" w:themeFill="accent4" w:themeFillTint="66"/>
      </w:tcPr>
    </w:tblStylePr>
    <w:tblStylePr w:type="lastRow">
      <w:rPr>
        <w:b w:val="1"/>
        <w:bCs w:val="1"/>
        <w:color w:val="000000" w:themeColor="text1"/>
      </w:rPr>
      <w:tblPr/>
      <w:tcPr>
        <w:shd w:val="clear" w:color="auto" w:fill="CCC0D9" w:themeFill="accent4" w:themeFillTint="66"/>
      </w:tcPr>
    </w:tblStylePr>
    <w:tblStylePr w:type="band1Vert">
      <w:tblPr/>
      <w:tcPr>
        <w:shd w:val="clear" w:color="auto" w:fill="BFB1D0" w:themeFill="accent4" w:themeFillTint="7F"/>
      </w:tcPr>
    </w:tblStylePr>
    <w:tblStylePr w:type="lastCol">
      <w:rPr>
        <w:color w:val="FFFFFF" w:themeColor="background1"/>
      </w:rPr>
      <w:tblPr/>
      <w:tcPr>
        <w:shd w:val="clear" w:color="auto" w:fill="5F497A" w:themeFill="accent4" w:themeFillShade="BF"/>
      </w:tcPr>
    </w:tblStylePr>
    <w:tblStylePr w:type="band1Horz">
      <w:tblPr/>
      <w:tcPr>
        <w:shd w:val="clear" w:color="auto" w:fill="BFB1D0" w:themeFill="accent4" w:themeFillTint="7F"/>
      </w:tcPr>
    </w:tblStylePr>
  </w:style>
  <w:style w:type="table" w:styleId="000110">
    <w:name w:val="Medium Shading 1 Accent 3"/>
    <w:basedOn w:val="0000ce"/>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band1Horz">
      <w:tblPr/>
      <w:tcPr>
        <w:tcBorders>
          <w:insideH w:val="nil"/>
          <w:insideV w:val="nil"/>
        </w:tcBorders>
        <w:shd w:val="clear" w:color="auto" w:fill="E6EED5" w:themeFill="accent3" w:themeFillTint="3F"/>
      </w:tcPr>
    </w:tblStylePr>
    <w:tblStylePr w:type="firstCol">
      <w:rPr>
        <w:b w:val="1"/>
        <w:bCs w:val="1"/>
      </w:rPr>
    </w:tblStylePr>
    <w:tblStylePr w:type="band2Horz">
      <w:tblPr/>
      <w:tcPr>
        <w:tcBorders>
          <w:insideH w:val="nil"/>
          <w:insideV w:val="nil"/>
        </w:tcBorders>
      </w:tcPr>
    </w:tblStylePr>
    <w:tblStylePr w:type="firstRow">
      <w:pPr>
        <w:spacing w:before="0" w:after="0" w:line="240" w:lineRule="auto"/>
      </w:pPr>
      <w:rPr>
        <w:b w:val="1"/>
        <w:bCs w:val="1"/>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val="1"/>
        <w:bCs w:val="1"/>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band1Vert">
      <w:tblPr/>
      <w:tcPr>
        <w:shd w:val="clear" w:color="auto" w:fill="E6EED5" w:themeFill="accent3" w:themeFillTint="3F"/>
      </w:tcPr>
    </w:tblStylePr>
    <w:tblStylePr w:type="lastCol">
      <w:rPr>
        <w:b w:val="1"/>
        <w:bCs w:val="1"/>
      </w:rPr>
    </w:tblStylePr>
  </w:style>
  <w:style w:type="table" w:styleId="00013e">
    <w:name w:val="Dark List"/>
    <w:basedOn w:val="0000ce"/>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band1Horz">
      <w:tblPr/>
      <w:tcPr>
        <w:tcBorders>
          <w:top w:val="nil"/>
          <w:left w:val="nil"/>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style>
  <w:style w:type="character" w:styleId="0000f4">
    <w:name w:val="Intense Reference"/>
    <w:basedOn w:val="0000cd"/>
    <w:uiPriority w:val="32"/>
    <w:qFormat w:val="1"/>
    <w:rsid w:val="00FC693F"/>
    <w:rPr>
      <w:b w:val="1"/>
      <w:bCs w:val="1"/>
      <w:smallCaps w:val="1"/>
      <w:color w:val="C0504D" w:themeColor="accent2"/>
      <w:spacing w:val="5"/>
      <w:u w:val="single"/>
    </w:rPr>
  </w:style>
  <w:style w:type="table" w:styleId="000118">
    <w:name w:val="Medium Shading 2 Accent 4"/>
    <w:basedOn w:val="0000ce"/>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Col">
      <w:rPr>
        <w:b w:val="1"/>
        <w:bCs w:val="1"/>
        <w:color w:val="FFFFFF" w:themeColor="background1"/>
      </w:rPr>
      <w:tblPr/>
      <w:tcPr>
        <w:tcBorders>
          <w:left w:val="nil"/>
          <w:right w:val="nil"/>
          <w:insideH w:val="nil"/>
          <w:insideV w:val="nil"/>
        </w:tcBorders>
        <w:shd w:val="clear" w:color="auto" w:fill="8064A2" w:themeFill="accent4"/>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paragraph" w:styleId="0000e2">
    <w:name w:val="List Number"/>
    <w:basedOn w:val="0000ba"/>
    <w:uiPriority w:val="99"/>
    <w:unhideWhenUsed w:val="1"/>
    <w:rsid w:val="00326F90"/>
    <w:pPr>
      <w:numPr>
        <w:numId w:val="3"/>
      </w:numPr>
      <w:contextualSpacing w:val="1"/>
    </w:pPr>
  </w:style>
  <w:style w:type="paragraph" w:styleId="0000c3">
    <w:name w:val="heading 5"/>
    <w:basedOn w:val="0000ba"/>
    <w:next w:val="0000ba"/>
    <w:link w:val="0000c4"/>
    <w:uiPriority w:val="9"/>
    <w:semiHidden w:val="1"/>
    <w:unhideWhenUsed w:val="1"/>
    <w:qFormat w:val="1"/>
    <w:rsid w:val="00FC693F"/>
    <w:pPr>
      <w:keepNext w:val="1"/>
      <w:keepLines w:val="1"/>
      <w:spacing w:before="200" w:after="0"/>
      <w:outlineLvl w:val="4"/>
    </w:pPr>
    <w:rPr>
      <w:rFonts w:asciiTheme="majorHAnsi" w:hAnsiTheme="majorHAnsi" w:eastAsiaTheme="majorEastAsia" w:cstheme="majorBidi"/>
      <w:color w:val="243F60" w:themeColor="accent1" w:themeShade="7F"/>
    </w:rPr>
  </w:style>
  <w:style w:type="character" w:styleId="0000cd" w:default="1">
    <w:name w:val="Default Paragraph Font"/>
    <w:uiPriority w:val="1"/>
    <w:semiHidden w:val="1"/>
    <w:unhideWhenUsed w:val="1"/>
  </w:style>
  <w:style w:type="table" w:styleId="000109">
    <w:name w:val="Light Grid Accent 3"/>
    <w:basedOn w:val="0000ce"/>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lastCol">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val="1"/>
        <w:bCs w:val="1"/>
      </w:r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000123">
    <w:name w:val="Medium List 2 Accent 1"/>
    <w:basedOn w:val="0000ce"/>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swCell">
      <w:tblPr/>
      <w:tcPr>
        <w:tcBorders>
          <w:top w:val="nil"/>
        </w:tcBorders>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style>
  <w:style w:type="paragraph" w:styleId="0000c1">
    <w:name w:val="heading 4"/>
    <w:basedOn w:val="0000ba"/>
    <w:next w:val="0000ba"/>
    <w:link w:val="0000c2"/>
    <w:uiPriority w:val="9"/>
    <w:semiHidden w:val="1"/>
    <w:unhideWhenUsed w:val="1"/>
    <w:qFormat w:val="1"/>
    <w:rsid w:val="00FC693F"/>
    <w:pPr>
      <w:keepNext w:val="1"/>
      <w:keepLines w:val="1"/>
      <w:spacing w:before="200" w:after="0"/>
      <w:outlineLvl w:val="3"/>
    </w:pPr>
    <w:rPr>
      <w:rFonts w:asciiTheme="majorHAnsi" w:hAnsiTheme="majorHAnsi" w:eastAsiaTheme="majorEastAsia" w:cstheme="majorBidi"/>
      <w:b w:val="1"/>
      <w:bCs w:val="1"/>
      <w:i w:val="1"/>
      <w:iCs w:val="1"/>
      <w:color w:val="4F81BD" w:themeColor="accent1"/>
    </w:rPr>
  </w:style>
  <w:style w:type="table" w:styleId="000149">
    <w:name w:val="Colorful Shading Accent 4"/>
    <w:basedOn w:val="0000ce"/>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band1Vert">
      <w:tblPr/>
      <w:tcPr>
        <w:shd w:val="clear" w:color="auto" w:fill="CCC0D9" w:themeFill="accent4" w:themeFillTint="66"/>
      </w:tcPr>
    </w:tblStylePr>
    <w:tblStylePr w:type="nwCell">
      <w:rPr>
        <w:color w:val="000000" w:themeColor="text1"/>
      </w:r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firstRow">
      <w:rPr>
        <w:b w:val="1"/>
        <w:bCs w:val="1"/>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val="1"/>
        <w:bCs w:val="1"/>
        <w:color w:val="FFFFFF" w:themeColor="background1"/>
      </w:rPr>
      <w:tblPr/>
      <w:tcPr>
        <w:tcBorders>
          <w:top w:val="single" w:color="FFFFFF" w:themeColor="background1" w:sz="6" w:space="0"/>
        </w:tcBorders>
        <w:shd w:val="clear" w:color="auto" w:fill="4C3B62" w:themeFill="accent4" w:themeFillShade="99"/>
      </w:tcPr>
    </w:tblStylePr>
    <w:tblStylePr w:type="band1Horz">
      <w:tblPr/>
      <w:tcPr>
        <w:shd w:val="clear" w:color="auto" w:fill="BFB1D0" w:themeFill="accent4" w:themeFillTint="7F"/>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neCell">
      <w:rPr>
        <w:color w:val="000000" w:themeColor="text1"/>
      </w:rPr>
    </w:tblStylePr>
  </w:style>
  <w:style w:type="table" w:styleId="000129">
    <w:name w:val="Medium Grid 1"/>
    <w:basedOn w:val="0000ce"/>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val="1"/>
        <w:bCs w:val="1"/>
      </w:rPr>
    </w:tblStylePr>
    <w:tblStylePr w:type="band1Vert">
      <w:tblPr/>
      <w:tcPr>
        <w:shd w:val="clear" w:color="auto" w:fill="808080" w:themeFill="text1" w:themeFillTint="7F"/>
      </w:tcPr>
    </w:tblStylePr>
    <w:tblStylePr w:type="lastRow">
      <w:rPr>
        <w:b w:val="1"/>
        <w:bCs w:val="1"/>
      </w:rPr>
      <w:tblPr/>
      <w:tcPr>
        <w:tcBorders>
          <w:top w:val="single" w:color="404040" w:themeColor="text1" w:themeTint="BF" w:sz="18" w:space="0"/>
        </w:tcBorders>
      </w:tcPr>
    </w:tblStylePr>
    <w:tblStylePr w:type="band1Horz">
      <w:tblPr/>
      <w:tcPr>
        <w:shd w:val="clear" w:color="auto" w:fill="808080" w:themeFill="text1" w:themeFillTint="7F"/>
      </w:tcPr>
    </w:tblStylePr>
    <w:tblStylePr w:type="firstCol">
      <w:rPr>
        <w:b w:val="1"/>
        <w:bCs w:val="1"/>
      </w:rPr>
    </w:tblStylePr>
    <w:tblStylePr w:type="lastCol">
      <w:rPr>
        <w:b w:val="1"/>
        <w:bCs w:val="1"/>
      </w:rPr>
    </w:tblStylePr>
  </w:style>
  <w:style w:type="table" w:styleId="00010f">
    <w:name w:val="Medium Shading 1 Accent 2"/>
    <w:basedOn w:val="0000ce"/>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band1Horz">
      <w:tblPr/>
      <w:tcPr>
        <w:tcBorders>
          <w:insideH w:val="nil"/>
          <w:insideV w:val="nil"/>
        </w:tcBorders>
        <w:shd w:val="clear" w:color="auto" w:fill="EFD3D2" w:themeFill="accent2" w:themeFillTint="3F"/>
      </w:tcPr>
    </w:tblStylePr>
    <w:tblStylePr w:type="firstCol">
      <w:rPr>
        <w:b w:val="1"/>
        <w:bCs w:val="1"/>
      </w:rPr>
    </w:tblStylePr>
    <w:tblStylePr w:type="lastCol">
      <w:rPr>
        <w:b w:val="1"/>
        <w:bCs w:val="1"/>
      </w:rPr>
    </w:tblStylePr>
    <w:tblStylePr w:type="firstRow">
      <w:pPr>
        <w:spacing w:before="0" w:after="0" w:line="240" w:lineRule="auto"/>
      </w:pPr>
      <w:rPr>
        <w:b w:val="1"/>
        <w:bCs w:val="1"/>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band1Vert">
      <w:tblPr/>
      <w:tcPr>
        <w:shd w:val="clear" w:color="auto" w:fill="EFD3D2" w:themeFill="accent2" w:themeFillTint="3F"/>
      </w:tcPr>
    </w:tblStylePr>
    <w:tblStylePr w:type="lastRow">
      <w:pPr>
        <w:spacing w:before="0" w:after="0" w:line="240" w:lineRule="auto"/>
      </w:pPr>
      <w:rPr>
        <w:b w:val="1"/>
        <w:bCs w:val="1"/>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band2Horz">
      <w:tblPr/>
      <w:tcPr>
        <w:tcBorders>
          <w:insideH w:val="nil"/>
          <w:insideV w:val="nil"/>
        </w:tcBorders>
      </w:tcPr>
    </w:tblStylePr>
  </w:style>
  <w:style w:type="table" w:styleId="000133">
    <w:name w:val="Medium Grid 2 Accent 3"/>
    <w:basedOn w:val="0000ce"/>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nwCell">
      <w:tblPr/>
      <w:tcPr>
        <w:shd w:val="clear" w:color="auto" w:fill="FFFFFF" w:themeFill="background1"/>
      </w:tcPr>
    </w:tblStylePr>
    <w:tblStylePr w:type="firstRow">
      <w:rPr>
        <w:b w:val="1"/>
        <w:bCs w:val="1"/>
        <w:color w:val="000000" w:themeColor="text1"/>
      </w:rPr>
      <w:tblPr/>
      <w:tcPr>
        <w:shd w:val="clear" w:color="auto" w:fill="F5F8EE" w:themeFill="accent3" w:themeFillTint="19"/>
      </w:tcPr>
    </w:tblStylePr>
    <w:tblStylePr w:type="band1Vert">
      <w:tblPr/>
      <w:tcPr>
        <w:shd w:val="clear" w:color="auto" w:fill="CDDDAC" w:themeFill="accent3"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style>
  <w:style w:type="table" w:styleId="00011a">
    <w:name w:val="Medium Shading 2 Accent 6"/>
    <w:basedOn w:val="0000ce"/>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Col">
      <w:rPr>
        <w:b w:val="1"/>
        <w:bCs w:val="1"/>
        <w:color w:val="FFFFFF" w:themeColor="background1"/>
      </w:rPr>
      <w:tblPr/>
      <w:tcPr>
        <w:tcBorders>
          <w:left w:val="nil"/>
          <w:right w:val="nil"/>
          <w:insideH w:val="nil"/>
          <w:insideV w:val="nil"/>
        </w:tcBorders>
        <w:shd w:val="clear" w:color="auto" w:fill="F79646" w:themeFill="accent6"/>
      </w:tcPr>
    </w:tblStylePr>
    <w:tblStylePr w:type="neCell">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Horz">
      <w:tblPr/>
      <w:tcPr>
        <w:shd w:val="clear" w:color="auto" w:fill="D8D8D8" w:themeFill="background1" w:themeFillShade="D8"/>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style>
  <w:style w:type="table" w:styleId="000102">
    <w:name w:val="Light List Accent 3"/>
    <w:basedOn w:val="0000ce"/>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firstRow">
      <w:pPr>
        <w:spacing w:before="0" w:after="0" w:line="240" w:lineRule="auto"/>
      </w:pPr>
      <w:rPr>
        <w:b w:val="1"/>
        <w:bCs w:val="1"/>
        <w:color w:val="FFFFFF" w:themeColor="background1"/>
      </w:rPr>
      <w:tblPr/>
      <w:tcPr>
        <w:shd w:val="clear" w:color="auto" w:fill="9BBB59" w:themeFill="accent3"/>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pPr>
        <w:spacing w:before="0" w:after="0" w:line="240" w:lineRule="auto"/>
      </w:pPr>
      <w:rPr>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lastCol">
      <w:rPr>
        <w:b w:val="1"/>
        <w:bCs w:val="1"/>
      </w:rPr>
    </w:tblStylePr>
    <w:tblStylePr w:type="firstCol">
      <w:rPr>
        <w:b w:val="1"/>
        <w:bCs w:val="1"/>
      </w:rPr>
    </w:tblStylePr>
  </w:style>
  <w:style w:type="table" w:styleId="0000f8">
    <w:name w:val="Light Shading"/>
    <w:basedOn w:val="0000ce"/>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Col">
      <w:rPr>
        <w:b w:val="1"/>
        <w:bCs w:val="1"/>
      </w:rPr>
    </w:tblStylePr>
    <w:tblStylePr w:type="la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fir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lastCol">
      <w:rPr>
        <w:b w:val="1"/>
        <w:bCs w:val="1"/>
      </w:rPr>
    </w:tblStylePr>
    <w:tblStylePr w:type="band1Horz">
      <w:tblPr/>
      <w:tcPr>
        <w:tcBorders>
          <w:left w:val="nil"/>
          <w:right w:val="nil"/>
          <w:insideH w:val="nil"/>
          <w:insideV w:val="nil"/>
        </w:tcBorders>
        <w:shd w:val="clear" w:color="auto" w:fill="C0C0C0" w:themeFill="text1" w:themeFillTint="3F"/>
      </w:tcPr>
    </w:tblStylePr>
    <w:tblStylePr w:type="band1Vert">
      <w:tblPr/>
      <w:tcPr>
        <w:tcBorders>
          <w:left w:val="nil"/>
          <w:right w:val="nil"/>
          <w:insideH w:val="nil"/>
          <w:insideV w:val="nil"/>
        </w:tcBorders>
        <w:shd w:val="clear" w:color="auto" w:fill="C0C0C0" w:themeFill="text1" w:themeFillTint="3F"/>
      </w:tcPr>
    </w:tblStylePr>
  </w:style>
  <w:style w:type="paragraph" w:styleId="0000e1">
    <w:name w:val="List Bullet 3"/>
    <w:basedOn w:val="0000ba"/>
    <w:uiPriority w:val="99"/>
    <w:unhideWhenUsed w:val="1"/>
    <w:rsid w:val="00326F90"/>
    <w:pPr>
      <w:numPr>
        <w:numId w:val="2"/>
      </w:numPr>
      <w:contextualSpacing w:val="1"/>
    </w:pPr>
  </w:style>
  <w:style w:type="paragraph" w:styleId="0000dd">
    <w:name w:val="List 2"/>
    <w:basedOn w:val="0000ba"/>
    <w:uiPriority w:val="99"/>
    <w:unhideWhenUsed w:val="1"/>
    <w:rsid w:val="00326F90"/>
    <w:pPr>
      <w:ind w:left="720" w:hanging="360"/>
      <w:contextualSpacing w:val="1"/>
    </w:pPr>
  </w:style>
  <w:style w:type="character" w:styleId="0000f2">
    <w:name w:val="Intense Emphasis"/>
    <w:basedOn w:val="0000cd"/>
    <w:uiPriority w:val="21"/>
    <w:qFormat w:val="1"/>
    <w:rsid w:val="00FC693F"/>
    <w:rPr>
      <w:b w:val="1"/>
      <w:bCs w:val="1"/>
      <w:i w:val="1"/>
      <w:iCs w:val="1"/>
      <w:color w:val="4F81BD" w:themeColor="accent1"/>
    </w:rPr>
  </w:style>
  <w:style w:type="table" w:styleId="000116">
    <w:name w:val="Medium Shading 2 Accent 2"/>
    <w:basedOn w:val="0000ce"/>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Col">
      <w:rPr>
        <w:b w:val="1"/>
        <w:bCs w:val="1"/>
        <w:color w:val="FFFFFF" w:themeColor="background1"/>
      </w:rPr>
      <w:tblPr/>
      <w:tcPr>
        <w:tcBorders>
          <w:left w:val="nil"/>
          <w:right w:val="nil"/>
          <w:insideH w:val="nil"/>
          <w:insideV w:val="nil"/>
        </w:tcBorders>
        <w:shd w:val="clear" w:color="auto" w:fill="C0504D" w:themeFill="accent2"/>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character" w:styleId="0000eb" w:customStyle="1">
    <w:name w:val="Quote Char"/>
    <w:basedOn w:val="0000cd"/>
    <w:link w:val="0000ea"/>
    <w:uiPriority w:val="29"/>
    <w:rsid w:val="00FC693F"/>
    <w:rPr>
      <w:i w:val="1"/>
      <w:iCs w:val="1"/>
      <w:color w:val="000000" w:themeColor="text1"/>
    </w:rPr>
  </w:style>
  <w:style w:type="table" w:styleId="000101">
    <w:name w:val="Light List Accent 2"/>
    <w:basedOn w:val="0000ce"/>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shd w:val="clear" w:color="auto" w:fill="C0504D" w:themeFill="accent2"/>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firstCol">
      <w:rPr>
        <w:b w:val="1"/>
        <w:bCs w:val="1"/>
      </w:r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pPr>
        <w:spacing w:before="0" w:after="0" w:line="240" w:lineRule="auto"/>
      </w:pPr>
      <w:rPr>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lastCol">
      <w:rPr>
        <w:b w:val="1"/>
        <w:bCs w:val="1"/>
      </w:rPr>
    </w:tblStylePr>
  </w:style>
  <w:style w:type="table" w:styleId="000159">
    <w:name w:val="Colorful Grid Accent 6"/>
    <w:basedOn w:val="0000ce"/>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band1Horz">
      <w:tblPr/>
      <w:tcPr>
        <w:shd w:val="clear" w:color="auto" w:fill="FBCAA2" w:themeFill="accent6" w:themeFillTint="7F"/>
      </w:tcPr>
    </w:tblStylePr>
    <w:tblStylePr w:type="lastRow">
      <w:rPr>
        <w:b w:val="1"/>
        <w:bCs w:val="1"/>
        <w:color w:val="000000" w:themeColor="text1"/>
      </w:rPr>
      <w:tblPr/>
      <w:tcPr>
        <w:shd w:val="clear" w:color="auto" w:fill="FBD4B4" w:themeFill="accent6" w:themeFillTint="66"/>
      </w:tcPr>
    </w:tblStylePr>
    <w:tblStylePr w:type="lastCol">
      <w:rPr>
        <w:color w:val="FFFFFF" w:themeColor="background1"/>
      </w:rPr>
      <w:tblPr/>
      <w:tcPr>
        <w:shd w:val="clear" w:color="auto" w:fill="E36C0A" w:themeFill="accent6" w:themeFillShade="BF"/>
      </w:tcPr>
    </w:tblStylePr>
    <w:tblStylePr w:type="firstRow">
      <w:rPr>
        <w:b w:val="1"/>
        <w:bCs w:val="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style>
  <w:style w:type="table" w:styleId="000140">
    <w:name w:val="Dark List Accent 2"/>
    <w:basedOn w:val="0000ce"/>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style>
  <w:style w:type="character" w:styleId="0000c0" w:customStyle="1">
    <w:name w:val="Heading 3 Char"/>
    <w:basedOn w:val="0000cd"/>
    <w:link w:val="0000bf"/>
    <w:uiPriority w:val="9"/>
    <w:rsid w:val="00FC693F"/>
    <w:rPr>
      <w:rFonts w:asciiTheme="majorHAnsi" w:hAnsiTheme="majorHAnsi" w:eastAsiaTheme="majorEastAsia" w:cstheme="majorBidi"/>
      <w:b w:val="1"/>
      <w:bCs w:val="1"/>
      <w:color w:val="4F81BD" w:themeColor="accent1"/>
    </w:rPr>
  </w:style>
  <w:style w:type="table" w:styleId="000106">
    <w:name w:val="Light Grid"/>
    <w:basedOn w:val="0000ce"/>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lastCol">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val="1"/>
        <w:bCs w:val="1"/>
      </w:rPr>
    </w:tblStylePr>
  </w:style>
  <w:style w:type="table" w:styleId="000154">
    <w:name w:val="Colorful Grid Accent 1"/>
    <w:basedOn w:val="0000ce"/>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Col">
      <w:rPr>
        <w:color w:val="FFFFFF" w:themeColor="background1"/>
      </w:rPr>
      <w:tblPr/>
      <w:tcPr>
        <w:shd w:val="clear" w:color="auto" w:fill="365F91" w:themeFill="accent1" w:themeFillShade="BF"/>
      </w:tcPr>
    </w:tblStylePr>
    <w:tblStylePr w:type="band1Horz">
      <w:tblPr/>
      <w:tcPr>
        <w:shd w:val="clear" w:color="auto" w:fill="A7BFDE" w:themeFill="accent1" w:themeFillTint="7F"/>
      </w:tcPr>
    </w:tblStylePr>
    <w:tblStylePr w:type="lastRow">
      <w:rPr>
        <w:b w:val="1"/>
        <w:bCs w:val="1"/>
        <w:color w:val="000000" w:themeColor="text1"/>
      </w:rPr>
      <w:tblPr/>
      <w:tcPr>
        <w:shd w:val="clear" w:color="auto" w:fill="B8CCE4" w:themeFill="accent1" w:themeFillTint="66"/>
      </w:tcPr>
    </w:tblStylePr>
    <w:tblStylePr w:type="firstRow">
      <w:rPr>
        <w:b w:val="1"/>
        <w:bCs w:val="1"/>
      </w:rPr>
      <w:tblPr/>
      <w:tcPr>
        <w:shd w:val="clear" w:color="auto" w:fill="B8CCE4" w:themeFill="accent1" w:themeFillTint="66"/>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style>
  <w:style w:type="table" w:styleId="0000fd">
    <w:name w:val="Light Shading Accent 5"/>
    <w:basedOn w:val="0000ce"/>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val="1"/>
        <w:bCs w:val="1"/>
      </w:rPr>
    </w:tblStylePr>
    <w:tblStylePr w:type="fir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lastCol">
      <w:rPr>
        <w:b w:val="1"/>
        <w:bCs w:val="1"/>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paragraph" w:styleId="0000c5">
    <w:name w:val="heading 6"/>
    <w:basedOn w:val="0000ba"/>
    <w:next w:val="0000ba"/>
    <w:link w:val="0000c6"/>
    <w:uiPriority w:val="9"/>
    <w:semiHidden w:val="1"/>
    <w:unhideWhenUsed w:val="1"/>
    <w:qFormat w:val="1"/>
    <w:rsid w:val="00FC693F"/>
    <w:pPr>
      <w:keepNext w:val="1"/>
      <w:keepLines w:val="1"/>
      <w:spacing w:before="200" w:after="0"/>
      <w:outlineLvl w:val="5"/>
    </w:pPr>
    <w:rPr>
      <w:rFonts w:asciiTheme="majorHAnsi" w:hAnsiTheme="majorHAnsi" w:eastAsiaTheme="majorEastAsia" w:cstheme="majorBidi"/>
      <w:i w:val="1"/>
      <w:iCs w:val="1"/>
      <w:color w:val="243F60" w:themeColor="accent1" w:themeShade="7F"/>
    </w:rPr>
  </w:style>
  <w:style w:type="paragraph" w:styleId="0000d6">
    <w:name w:val="Body Text"/>
    <w:basedOn w:val="0000ba"/>
    <w:link w:val="0000d7"/>
    <w:uiPriority w:val="99"/>
    <w:unhideWhenUsed w:val="1"/>
    <w:rsid w:val="00AA1D8D"/>
    <w:pPr>
      <w:spacing w:after="120"/>
    </w:pPr>
  </w:style>
  <w:style w:type="character" w:styleId="0000be" w:customStyle="1">
    <w:name w:val="Heading 2 Char"/>
    <w:basedOn w:val="0000cd"/>
    <w:link w:val="0000bd"/>
    <w:uiPriority w:val="9"/>
    <w:rsid w:val="00FC693F"/>
    <w:rPr>
      <w:rFonts w:asciiTheme="majorHAnsi" w:hAnsiTheme="majorHAnsi" w:eastAsiaTheme="majorEastAsia" w:cstheme="majorBidi"/>
      <w:b w:val="1"/>
      <w:bCs w:val="1"/>
      <w:color w:val="4F81BD" w:themeColor="accent1"/>
      <w:sz w:val="26"/>
      <w:szCs w:val="26"/>
    </w:rPr>
  </w:style>
  <w:style w:type="table" w:styleId="000108">
    <w:name w:val="Light Grid Accent 2"/>
    <w:basedOn w:val="0000ce"/>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tblStylePr w:type="firstCol">
      <w:rPr>
        <w:rFonts w:asciiTheme="majorHAnsi" w:hAnsiTheme="majorHAnsi" w:eastAsiaTheme="majorEastAsia" w:cstheme="majorBidi"/>
        <w:b w:val="1"/>
        <w:bCs w:val="1"/>
      </w:rPr>
    </w:tblStylePr>
    <w:tblStylePr w:type="firstRow">
      <w:pPr>
        <w:spacing w:before="0" w:after="0" w:line="240" w:lineRule="auto"/>
      </w:pPr>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Col">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style>
  <w:style w:type="table" w:styleId="000156">
    <w:name w:val="Colorful Grid Accent 3"/>
    <w:basedOn w:val="0000ce"/>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Col">
      <w:rPr>
        <w:color w:val="FFFFFF" w:themeColor="background1"/>
      </w:rPr>
      <w:tblPr/>
      <w:tcPr>
        <w:shd w:val="clear" w:color="auto" w:fill="76923C" w:themeFill="accent3" w:themeFillShade="BF"/>
      </w:tcPr>
    </w:tblStylePr>
    <w:tblStylePr w:type="lastRow">
      <w:rPr>
        <w:b w:val="1"/>
        <w:bCs w:val="1"/>
        <w:color w:val="000000" w:themeColor="text1"/>
      </w:rPr>
      <w:tblPr/>
      <w:tcPr>
        <w:shd w:val="clear" w:color="auto" w:fill="D6E3BC" w:themeFill="accent3" w:themeFillTint="66"/>
      </w:tcPr>
    </w:tblStylePr>
    <w:tblStylePr w:type="band1Horz">
      <w:tblPr/>
      <w:tcPr>
        <w:shd w:val="clear" w:color="auto" w:fill="CDDDAC" w:themeFill="accent3" w:themeFillTint="7F"/>
      </w:tcPr>
    </w:tblStylePr>
    <w:tblStylePr w:type="lastCol">
      <w:rPr>
        <w:color w:val="FFFFFF" w:themeColor="background1"/>
      </w:rPr>
      <w:tblPr/>
      <w:tcPr>
        <w:shd w:val="clear" w:color="auto" w:fill="76923C" w:themeFill="accent3" w:themeFillShade="BF"/>
      </w:tcPr>
    </w:tblStylePr>
    <w:tblStylePr w:type="firstRow">
      <w:rPr>
        <w:b w:val="1"/>
        <w:bCs w:val="1"/>
      </w:rPr>
      <w:tblPr/>
      <w:tcPr>
        <w:shd w:val="clear" w:color="auto" w:fill="D6E3BC" w:themeFill="accent3" w:themeFillTint="66"/>
      </w:tcPr>
    </w:tblStylePr>
    <w:tblStylePr w:type="band1Vert">
      <w:tblPr/>
      <w:tcPr>
        <w:shd w:val="clear" w:color="auto" w:fill="CDDDAC" w:themeFill="accent3" w:themeFillTint="7F"/>
      </w:tcPr>
    </w:tblStylePr>
  </w:style>
  <w:style w:type="table" w:styleId="0000ff">
    <w:name w:val="Light List"/>
    <w:basedOn w:val="0000ce"/>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Col">
      <w:rPr>
        <w:b w:val="1"/>
        <w:bCs w:val="1"/>
      </w:rPr>
    </w:tblStylePr>
    <w:tblStylePr w:type="lastRow">
      <w:pPr>
        <w:spacing w:before="0" w:after="0" w:line="240" w:lineRule="auto"/>
      </w:pPr>
      <w:rPr>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Row">
      <w:pPr>
        <w:spacing w:before="0" w:after="0" w:line="240" w:lineRule="auto"/>
      </w:pPr>
      <w:rPr>
        <w:b w:val="1"/>
        <w:bCs w:val="1"/>
        <w:color w:val="FFFFFF" w:themeColor="background1"/>
      </w:rPr>
      <w:tblPr/>
      <w:tcPr>
        <w:shd w:val="clear" w:color="auto" w:fill="000000" w:themeFill="text1"/>
      </w:tcPr>
    </w:tblStylePr>
    <w:tblStylePr w:type="lastCol">
      <w:rPr>
        <w:b w:val="1"/>
        <w:bCs w:val="1"/>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000135">
    <w:name w:val="Medium Grid 2 Accent 5"/>
    <w:basedOn w:val="0000ce"/>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val="1"/>
        <w:bCs w:val="1"/>
        <w:color w:val="000000" w:themeColor="text1"/>
      </w:rPr>
      <w:tblPr/>
      <w:tcPr>
        <w:shd w:val="clear" w:color="auto" w:fill="EDF6F9" w:themeFill="accent5" w:themeFillTint="19"/>
      </w:tcPr>
    </w:tblStylePr>
    <w:tblStylePr w:type="band1Vert">
      <w:tblPr/>
      <w:tcPr>
        <w:shd w:val="clear" w:color="auto" w:fill="A5D5E2" w:themeFill="accent5"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style>
  <w:style w:type="table" w:styleId="00010c">
    <w:name w:val="Light Grid Accent 6"/>
    <w:basedOn w:val="0000ce"/>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lastCol">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val="1"/>
        <w:bCs w:val="1"/>
      </w:rPr>
    </w:tblStylePr>
  </w:style>
  <w:style w:type="table" w:styleId="00011d">
    <w:name w:val="Medium List 1 Accent 2"/>
    <w:basedOn w:val="0000ce"/>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band1Vert">
      <w:tblPr/>
      <w:tcPr>
        <w:shd w:val="clear" w:color="auto" w:fill="EFD3D2" w:themeFill="accent2" w:themeFillTint="3F"/>
      </w:tcPr>
    </w:tblStylePr>
    <w:tblStylePr w:type="firstCol">
      <w:rPr>
        <w:b w:val="1"/>
        <w:bCs w:val="1"/>
      </w:rPr>
    </w:tblStylePr>
    <w:tblStylePr w:type="lastRow">
      <w:rPr>
        <w:b w:val="1"/>
        <w:bCs w:val="1"/>
        <w:color w:val="1F497D" w:themeColor="text2"/>
      </w:rPr>
      <w:tblPr/>
      <w:tcPr>
        <w:tcBorders>
          <w:top w:val="single" w:color="C0504D" w:themeColor="accent2" w:sz="8" w:space="0"/>
          <w:bottom w:val="single" w:color="C0504D" w:themeColor="accent2" w:sz="8" w:space="0"/>
        </w:tcBorders>
      </w:tcPr>
    </w:tblStylePr>
    <w:tblStylePr w:type="band1Horz">
      <w:tblPr/>
      <w:tcPr>
        <w:shd w:val="clear" w:color="auto" w:fill="EFD3D2" w:themeFill="accent2" w:themeFillTint="3F"/>
      </w:tcPr>
    </w:tblStylePr>
    <w:tblStylePr w:type="lastCol">
      <w:rPr>
        <w:b w:val="1"/>
        <w:bCs w:val="1"/>
      </w:rPr>
      <w:tblPr/>
      <w:tcPr>
        <w:tcBorders>
          <w:top w:val="single" w:color="C0504D" w:themeColor="accent2" w:sz="8" w:space="0"/>
          <w:bottom w:val="single" w:color="C0504D" w:themeColor="accent2" w:sz="8" w:space="0"/>
        </w:tcBorders>
      </w:tcPr>
    </w:tblStylePr>
  </w:style>
  <w:style w:type="table" w:styleId="0000fe">
    <w:name w:val="Light Shading Accent 6"/>
    <w:basedOn w:val="0000ce"/>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lastCol">
      <w:rPr>
        <w:b w:val="1"/>
        <w:bCs w:val="1"/>
      </w:rPr>
    </w:tblStylePr>
    <w:tblStylePr w:type="fir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val="1"/>
        <w:bCs w:val="1"/>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00010d">
    <w:name w:val="Medium Shading 1"/>
    <w:basedOn w:val="0000ce"/>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val="1"/>
        <w:bCs w:val="1"/>
      </w:rPr>
    </w:tblStylePr>
    <w:tblStylePr w:type="band1Horz">
      <w:tblPr/>
      <w:tcPr>
        <w:tcBorders>
          <w:insideH w:val="nil"/>
          <w:insideV w:val="nil"/>
        </w:tcBorders>
        <w:shd w:val="clear" w:color="auto" w:fill="C0C0C0" w:themeFill="text1" w:themeFillTint="3F"/>
      </w:tcPr>
    </w:tblStylePr>
    <w:tblStylePr w:type="firstRow">
      <w:pPr>
        <w:spacing w:before="0" w:after="0" w:line="240" w:lineRule="auto"/>
      </w:pPr>
      <w:rPr>
        <w:b w:val="1"/>
        <w:bCs w:val="1"/>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Col">
      <w:rPr>
        <w:b w:val="1"/>
        <w:bCs w:val="1"/>
      </w:rPr>
    </w:tblStylePr>
    <w:tblStylePr w:type="band2Horz">
      <w:tblPr/>
      <w:tcPr>
        <w:tcBorders>
          <w:insideH w:val="nil"/>
          <w:insideV w:val="nil"/>
        </w:tcBorders>
      </w:tcPr>
    </w:tblStylePr>
    <w:tblStylePr w:type="band1Vert">
      <w:tblPr/>
      <w:tcPr>
        <w:shd w:val="clear" w:color="auto" w:fill="C0C0C0" w:themeFill="text1" w:themeFillTint="3F"/>
      </w:tcPr>
    </w:tblStylePr>
  </w:style>
  <w:style w:type="table" w:styleId="00012e">
    <w:name w:val="Medium Grid 1 Accent 5"/>
    <w:basedOn w:val="0000ce"/>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lastCol">
      <w:rPr>
        <w:b w:val="1"/>
        <w:bCs w:val="1"/>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tblStylePr w:type="firstCol">
      <w:rPr>
        <w:b w:val="1"/>
        <w:bCs w:val="1"/>
      </w:rPr>
    </w:tblStylePr>
    <w:tblStylePr w:type="lastRow">
      <w:rPr>
        <w:b w:val="1"/>
        <w:bCs w:val="1"/>
      </w:rPr>
      <w:tblPr/>
      <w:tcPr>
        <w:tcBorders>
          <w:top w:val="single" w:color="78C0D4" w:themeColor="accent5" w:themeTint="BF" w:sz="18" w:space="0"/>
        </w:tcBorders>
      </w:tcPr>
    </w:tblStylePr>
    <w:tblStylePr w:type="firstRow">
      <w:rPr>
        <w:b w:val="1"/>
        <w:bCs w:val="1"/>
      </w:rPr>
    </w:tblStylePr>
  </w:style>
  <w:style w:type="table" w:styleId="0000fc">
    <w:name w:val="Light Shading Accent 4"/>
    <w:basedOn w:val="0000ce"/>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band1Horz">
      <w:tblPr/>
      <w:tcPr>
        <w:tcBorders>
          <w:left w:val="nil"/>
          <w:right w:val="nil"/>
          <w:insideH w:val="nil"/>
          <w:insideV w:val="nil"/>
        </w:tcBorders>
        <w:shd w:val="clear" w:color="auto" w:fill="DFD8E8" w:themeFill="accent4" w:themeFillTint="3F"/>
      </w:tcPr>
    </w:tblStylePr>
    <w:tblStylePr w:type="band1Vert">
      <w:tblPr/>
      <w:tcPr>
        <w:tcBorders>
          <w:left w:val="nil"/>
          <w:right w:val="nil"/>
          <w:insideH w:val="nil"/>
          <w:insideV w:val="nil"/>
        </w:tcBorders>
        <w:shd w:val="clear" w:color="auto" w:fill="DFD8E8" w:themeFill="accent4" w:themeFillTint="3F"/>
      </w:tcPr>
    </w:tblStylePr>
    <w:tblStylePr w:type="la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fir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lastCol">
      <w:rPr>
        <w:b w:val="1"/>
        <w:bCs w:val="1"/>
      </w:rPr>
    </w:tblStylePr>
    <w:tblStylePr w:type="firstCol">
      <w:rPr>
        <w:b w:val="1"/>
        <w:bCs w:val="1"/>
      </w:rPr>
    </w:tblStylePr>
  </w:style>
  <w:style w:type="character" w:styleId="0000ee">
    <w:name w:val="Emphasis"/>
    <w:basedOn w:val="0000cd"/>
    <w:uiPriority w:val="20"/>
    <w:qFormat w:val="1"/>
    <w:rsid w:val="00FC693F"/>
    <w:rPr>
      <w:i w:val="1"/>
      <w:iCs w:val="1"/>
    </w:rPr>
  </w:style>
  <w:style w:type="table" w:styleId="000100">
    <w:name w:val="Light List Accent 1"/>
    <w:basedOn w:val="0000ce"/>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Col">
      <w:rPr>
        <w:b w:val="1"/>
        <w:bCs w:val="1"/>
      </w:rPr>
    </w:tblStylePr>
    <w:tblStylePr w:type="firstRow">
      <w:pPr>
        <w:spacing w:before="0" w:after="0" w:line="240" w:lineRule="auto"/>
      </w:pPr>
      <w:rPr>
        <w:b w:val="1"/>
        <w:bCs w:val="1"/>
        <w:color w:val="FFFFFF" w:themeColor="background1"/>
      </w:rPr>
      <w:tblPr/>
      <w:tcPr>
        <w:shd w:val="clear" w:color="auto" w:fill="4F81BD" w:themeFill="accent1"/>
      </w:tcPr>
    </w:tblStylePr>
    <w:tblStylePr w:type="firstCol">
      <w:rPr>
        <w:b w:val="1"/>
        <w:bCs w:val="1"/>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000155">
    <w:name w:val="Colorful Grid Accent 2"/>
    <w:basedOn w:val="0000ce"/>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lastCol">
      <w:rPr>
        <w:color w:val="FFFFFF" w:themeColor="background1"/>
      </w:rPr>
      <w:tblPr/>
      <w:tcPr>
        <w:shd w:val="clear" w:color="auto" w:fill="943634" w:themeFill="accent2" w:themeFillShade="BF"/>
      </w:tcPr>
    </w:tblStylePr>
    <w:tblStylePr w:type="lastRow">
      <w:rPr>
        <w:b w:val="1"/>
        <w:bCs w:val="1"/>
        <w:color w:val="000000" w:themeColor="text1"/>
      </w:rPr>
      <w:tblPr/>
      <w:tcPr>
        <w:shd w:val="clear" w:color="auto" w:fill="E5B8B7" w:themeFill="accent2" w:themeFillTint="66"/>
      </w:tcPr>
    </w:tblStylePr>
    <w:tblStylePr w:type="band1Horz">
      <w:tblPr/>
      <w:tcPr>
        <w:shd w:val="clear" w:color="auto" w:fill="DFA7A6" w:themeFill="accent2" w:themeFillTint="7F"/>
      </w:tcPr>
    </w:tblStylePr>
    <w:tblStylePr w:type="firstRow">
      <w:rPr>
        <w:b w:val="1"/>
        <w:bCs w:val="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style>
  <w:style w:type="paragraph" w:styleId="0000d8">
    <w:name w:val="Body Text 2"/>
    <w:basedOn w:val="0000ba"/>
    <w:link w:val="0000d9"/>
    <w:uiPriority w:val="99"/>
    <w:unhideWhenUsed w:val="1"/>
    <w:rsid w:val="00AA1D8D"/>
    <w:pPr>
      <w:spacing w:after="120" w:line="480" w:lineRule="auto"/>
    </w:pPr>
  </w:style>
  <w:style w:type="character" w:styleId="0000c4" w:customStyle="1">
    <w:name w:val="Heading 5 Char"/>
    <w:basedOn w:val="0000cd"/>
    <w:link w:val="0000c3"/>
    <w:uiPriority w:val="9"/>
    <w:semiHidden w:val="1"/>
    <w:rsid w:val="00FC693F"/>
    <w:rPr>
      <w:rFonts w:asciiTheme="majorHAnsi" w:hAnsiTheme="majorHAnsi" w:eastAsiaTheme="majorEastAsia" w:cstheme="majorBidi"/>
      <w:color w:val="243F60" w:themeColor="accent1" w:themeShade="7F"/>
    </w:rPr>
  </w:style>
  <w:style w:type="character" w:styleId="0000f0" w:customStyle="1">
    <w:name w:val="Intense Quote Char"/>
    <w:basedOn w:val="0000cd"/>
    <w:link w:val="0000ef"/>
    <w:uiPriority w:val="30"/>
    <w:rsid w:val="00FC693F"/>
    <w:rPr>
      <w:b w:val="1"/>
      <w:bCs w:val="1"/>
      <w:i w:val="1"/>
      <w:iCs w:val="1"/>
      <w:color w:val="4F81BD" w:themeColor="accent1"/>
    </w:rPr>
  </w:style>
  <w:style w:type="table" w:styleId="0000f9">
    <w:name w:val="Light Shading Accent 1"/>
    <w:basedOn w:val="0000ce"/>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lastCol">
      <w:rPr>
        <w:b w:val="1"/>
        <w:bCs w:val="1"/>
      </w:rPr>
    </w:tblStylePr>
    <w:tblStylePr w:type="firstCol">
      <w:rPr>
        <w:b w:val="1"/>
        <w:bCs w:val="1"/>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tblStylePr w:type="fir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style>
  <w:style w:type="paragraph" w:styleId="0000e0">
    <w:name w:val="List Bullet 2"/>
    <w:basedOn w:val="0000ba"/>
    <w:uiPriority w:val="99"/>
    <w:unhideWhenUsed w:val="1"/>
    <w:rsid w:val="00326F90"/>
    <w:pPr>
      <w:numPr>
        <w:numId w:val="6"/>
      </w:numPr>
      <w:contextualSpacing w:val="1"/>
    </w:pPr>
  </w:style>
  <w:style w:type="table" w:styleId="00014e">
    <w:name w:val="Colorful List Accent 2"/>
    <w:basedOn w:val="0000ce"/>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lastCol">
      <w:rPr>
        <w:b w:val="1"/>
        <w:bCs w:val="1"/>
      </w:rPr>
    </w:tblStylePr>
    <w:tblStylePr w:type="firstCol">
      <w:rPr>
        <w:b w:val="1"/>
        <w:bCs w:val="1"/>
      </w:r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band1Horz">
      <w:tblPr/>
      <w:tcPr>
        <w:shd w:val="clear" w:color="auto" w:fill="F2DBDB" w:themeFill="accent2" w:themeFillTint="33"/>
      </w:tc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band1Vert">
      <w:tblPr/>
      <w:tcPr>
        <w:tcBorders>
          <w:top w:val="nil"/>
          <w:left w:val="nil"/>
          <w:bottom w:val="nil"/>
          <w:right w:val="nil"/>
          <w:insideH w:val="nil"/>
          <w:insideV w:val="nil"/>
        </w:tcBorders>
        <w:shd w:val="clear" w:color="auto" w:fill="EFD3D2" w:themeFill="accent2" w:themeFillTint="3F"/>
      </w:tcPr>
    </w:tblStylePr>
  </w:style>
  <w:style w:type="paragraph" w:styleId="0000e6">
    <w:name w:val="List Continue 2"/>
    <w:basedOn w:val="0000ba"/>
    <w:uiPriority w:val="99"/>
    <w:unhideWhenUsed w:val="1"/>
    <w:rsid w:val="0029639D"/>
    <w:pPr>
      <w:spacing w:after="120"/>
      <w:ind w:left="720"/>
      <w:contextualSpacing w:val="1"/>
    </w:pPr>
  </w:style>
  <w:style w:type="paragraph" w:styleId="0000e5">
    <w:name w:val="List Continue"/>
    <w:basedOn w:val="0000ba"/>
    <w:uiPriority w:val="99"/>
    <w:unhideWhenUsed w:val="1"/>
    <w:rsid w:val="0029639D"/>
    <w:pPr>
      <w:spacing w:after="120"/>
      <w:ind w:left="360"/>
      <w:contextualSpacing w:val="1"/>
    </w:pPr>
  </w:style>
  <w:style w:type="table" w:styleId="000120">
    <w:name w:val="Medium List 1 Accent 5"/>
    <w:basedOn w:val="0000ce"/>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lastRow">
      <w:rPr>
        <w:b w:val="1"/>
        <w:bCs w:val="1"/>
        <w:color w:val="1F497D" w:themeColor="text2"/>
      </w:rPr>
      <w:tblPr/>
      <w:tcPr>
        <w:tcBorders>
          <w:top w:val="single" w:color="4BACC6" w:themeColor="accent5" w:sz="8" w:space="0"/>
          <w:bottom w:val="single" w:color="4BACC6" w:themeColor="accent5" w:sz="8" w:space="0"/>
        </w:tcBorders>
      </w:tcPr>
    </w:tblStylePr>
    <w:tblStylePr w:type="band1Horz">
      <w:tblPr/>
      <w:tcPr>
        <w:shd w:val="clear" w:color="auto" w:fill="D2EAF1" w:themeFill="accent5" w:themeFillTint="3F"/>
      </w:tcPr>
    </w:tblStylePr>
    <w:tblStylePr w:type="lastCol">
      <w:rPr>
        <w:b w:val="1"/>
        <w:bCs w:val="1"/>
      </w:rPr>
      <w:tblPr/>
      <w:tcPr>
        <w:tcBorders>
          <w:top w:val="single" w:color="4BACC6" w:themeColor="accent5" w:sz="8" w:space="0"/>
          <w:bottom w:val="single" w:color="4BACC6" w:themeColor="accent5" w:sz="8" w:space="0"/>
        </w:tcBorders>
      </w:tcPr>
    </w:tblStylePr>
    <w:tblStylePr w:type="firstCol">
      <w:rPr>
        <w:b w:val="1"/>
        <w:bCs w:val="1"/>
      </w:rPr>
    </w:tblStyle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band1Vert">
      <w:tblPr/>
      <w:tcPr>
        <w:shd w:val="clear" w:color="auto" w:fill="D2EAF1" w:themeFill="accent5" w:themeFillTint="3F"/>
      </w:tcPr>
    </w:tblStylePr>
  </w:style>
  <w:style w:type="character" w:styleId="0000e9" w:customStyle="1">
    <w:name w:val="Macro Text Char"/>
    <w:basedOn w:val="0000cd"/>
    <w:link w:val="0000e8"/>
    <w:uiPriority w:val="99"/>
    <w:rsid w:val="0029639D"/>
    <w:rPr>
      <w:rFonts w:ascii="Courier" w:hAnsi="Courier"/>
      <w:sz w:val="20"/>
      <w:szCs w:val="20"/>
    </w:rPr>
  </w:style>
  <w:style w:type="table" w:styleId="00012a">
    <w:name w:val="Medium Grid 1 Accent 1"/>
    <w:basedOn w:val="0000ce"/>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lastRow">
      <w:rPr>
        <w:b w:val="1"/>
        <w:bCs w:val="1"/>
      </w:rPr>
      <w:tblPr/>
      <w:tcPr>
        <w:tcBorders>
          <w:top w:val="single" w:color="7BA0CD" w:themeColor="accent1" w:themeTint="BF" w:sz="18" w:space="0"/>
        </w:tcBorders>
      </w:tcPr>
    </w:tblStylePr>
    <w:tblStylePr w:type="lastCol">
      <w:rPr>
        <w:b w:val="1"/>
        <w:bCs w:val="1"/>
      </w:rPr>
    </w:tblStylePr>
    <w:tblStylePr w:type="band1Horz">
      <w:tblPr/>
      <w:tcPr>
        <w:shd w:val="clear" w:color="auto" w:fill="A7BFDE" w:themeFill="accent1" w:themeFillTint="7F"/>
      </w:tcPr>
    </w:tblStylePr>
    <w:tblStylePr w:type="firstRow">
      <w:rPr>
        <w:b w:val="1"/>
        <w:bCs w:val="1"/>
      </w:rPr>
    </w:tblStylePr>
    <w:tblStylePr w:type="firstCol">
      <w:rPr>
        <w:b w:val="1"/>
        <w:bCs w:val="1"/>
      </w:rPr>
    </w:tblStylePr>
    <w:tblStylePr w:type="band1Vert">
      <w:tblPr/>
      <w:tcPr>
        <w:shd w:val="clear" w:color="auto" w:fill="A7BFDE" w:themeFill="accent1" w:themeFillTint="7F"/>
      </w:tcPr>
    </w:tblStylePr>
  </w:style>
  <w:style w:type="character" w:styleId="0000d2" w:customStyle="1">
    <w:name w:val="Title Char"/>
    <w:basedOn w:val="0000cd"/>
    <w:link w:val="0000d1"/>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0000e3">
    <w:name w:val="List Number 2"/>
    <w:basedOn w:val="0000ba"/>
    <w:uiPriority w:val="99"/>
    <w:unhideWhenUsed w:val="1"/>
    <w:rsid w:val="0029639D"/>
    <w:pPr>
      <w:numPr>
        <w:numId w:val="1"/>
      </w:numPr>
      <w:contextualSpacing w:val="1"/>
    </w:pPr>
  </w:style>
  <w:style w:type="numbering" w:styleId="0000cf" w:default="1">
    <w:name w:val="No List"/>
    <w:uiPriority w:val="99"/>
    <w:semiHidden w:val="1"/>
    <w:unhideWhenUsed w:val="1"/>
  </w:style>
  <w:style w:type="paragraph" w:styleId="0000d0">
    <w:name w:val="No Spacing"/>
    <w:uiPriority w:val="1"/>
    <w:qFormat w:val="1"/>
    <w:rsid w:val="00FC693F"/>
    <w:pPr>
      <w:spacing w:after="0" w:line="240" w:lineRule="auto"/>
    </w:pPr>
  </w:style>
  <w:style w:type="paragraph" w:styleId="0000da">
    <w:name w:val="Body Text 3"/>
    <w:basedOn w:val="0000ba"/>
    <w:link w:val="0000db"/>
    <w:uiPriority w:val="99"/>
    <w:unhideWhenUsed w:val="1"/>
    <w:rsid w:val="00AA1D8D"/>
    <w:pPr>
      <w:spacing w:after="120"/>
    </w:pPr>
    <w:rPr>
      <w:sz w:val="16"/>
      <w:szCs w:val="16"/>
    </w:rPr>
  </w:style>
  <w:style w:type="table" w:styleId="0000fb">
    <w:name w:val="Light Shading Accent 3"/>
    <w:basedOn w:val="0000ce"/>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Col">
      <w:rPr>
        <w:b w:val="1"/>
        <w:bCs w:val="1"/>
      </w:rPr>
    </w:tblStylePr>
    <w:tblStylePr w:type="fir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band1Vert">
      <w:tblPr/>
      <w:tcPr>
        <w:tcBorders>
          <w:left w:val="nil"/>
          <w:right w:val="nil"/>
          <w:insideH w:val="nil"/>
          <w:insideV w:val="nil"/>
        </w:tcBorders>
        <w:shd w:val="clear" w:color="auto" w:fill="E6EED5" w:themeFill="accent3" w:themeFillTint="3F"/>
      </w:tcPr>
    </w:tblStylePr>
    <w:tblStylePr w:type="lastCol">
      <w:rPr>
        <w:b w:val="1"/>
        <w:bCs w:val="1"/>
      </w:rPr>
    </w:tblStylePr>
    <w:tblStylePr w:type="la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band1Horz">
      <w:tblPr/>
      <w:tcPr>
        <w:tcBorders>
          <w:left w:val="nil"/>
          <w:right w:val="nil"/>
          <w:insideH w:val="nil"/>
          <w:insideV w:val="nil"/>
        </w:tcBorders>
        <w:shd w:val="clear" w:color="auto" w:fill="E6EED5" w:themeFill="accent3" w:themeFillTint="3F"/>
      </w:tcPr>
    </w:tblStylePr>
  </w:style>
  <w:style w:type="table" w:styleId="000114">
    <w:name w:val="Medium Shading 2"/>
    <w:basedOn w:val="0000ce"/>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D8D8D8" w:themeFill="background1" w:themeFillShade="D8"/>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lastCol">
      <w:rPr>
        <w:b w:val="1"/>
        <w:bCs w:val="1"/>
        <w:color w:val="FFFFFF" w:themeColor="background1"/>
      </w:rPr>
      <w:tblPr/>
      <w:tcPr>
        <w:tcBorders>
          <w:left w:val="nil"/>
          <w:right w:val="nil"/>
          <w:insideH w:val="nil"/>
          <w:insideV w:val="nil"/>
        </w:tcBorders>
        <w:shd w:val="clear" w:color="auto" w:fill="000000" w:themeFill="text1"/>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neCell">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style>
  <w:style w:type="table" w:styleId="0000ce" w:default="1">
    <w:name w:val="Normal Table"/>
    <w:uiPriority w:val="99"/>
    <w:semiHidden w:val="1"/>
    <w:unhideWhenUsed w:val="1"/>
    <w:tblPr>
      <w:tblInd w:w="0" w:type="dxa"/>
      <w:tblCellMar>
        <w:top w:w="0" w:type="dxa"/>
        <w:left w:w="108" w:type="dxa"/>
        <w:bottom w:w="0" w:type="dxa"/>
        <w:right w:w="108" w:type="dxa"/>
      </w:tblCellMar>
    </w:tblPr>
  </w:style>
  <w:style w:type="table" w:styleId="00010b">
    <w:name w:val="Light Grid Accent 5"/>
    <w:basedOn w:val="0000ce"/>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val="1"/>
        <w:bCs w:val="1"/>
      </w:rPr>
    </w:tblStylePr>
    <w:tblStylePr w:type="lastCol">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style>
  <w:style w:type="table" w:styleId="000117">
    <w:name w:val="Medium Shading 2 Accent 3"/>
    <w:basedOn w:val="0000ce"/>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lastCol">
      <w:rPr>
        <w:b w:val="1"/>
        <w:bCs w:val="1"/>
        <w:color w:val="FFFFFF" w:themeColor="background1"/>
      </w:rPr>
      <w:tblPr/>
      <w:tcPr>
        <w:tcBorders>
          <w:left w:val="nil"/>
          <w:right w:val="nil"/>
          <w:insideH w:val="nil"/>
          <w:insideV w:val="nil"/>
        </w:tcBorders>
        <w:shd w:val="clear" w:color="auto" w:fill="9BBB59" w:themeFill="accent3"/>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neCell">
      <w:tblPr/>
      <w:tcPr>
        <w:tcBorders>
          <w:top w:val="single" w:color="auto" w:sz="18" w:space="0"/>
          <w:left w:val="nil"/>
          <w:bottom w:val="single" w:color="auto" w:sz="18" w:space="0"/>
          <w:right w:val="nil"/>
          <w:insideH w:val="nil"/>
          <w:insideV w:val="nil"/>
        </w:tcBorders>
      </w:tcPr>
    </w:tblStylePr>
  </w:style>
  <w:style w:type="paragraph" w:styleId="0000e4">
    <w:name w:val="List Number 3"/>
    <w:basedOn w:val="0000ba"/>
    <w:uiPriority w:val="99"/>
    <w:unhideWhenUsed w:val="1"/>
    <w:rsid w:val="0029639D"/>
    <w:pPr>
      <w:numPr>
        <w:numId w:val="5"/>
      </w:numPr>
      <w:contextualSpacing w:val="1"/>
    </w:pPr>
  </w:style>
  <w:style w:type="table" w:styleId="000144">
    <w:name w:val="Dark List Accent 6"/>
    <w:basedOn w:val="0000ce"/>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Horz">
      <w:tblPr/>
      <w:tcPr>
        <w:tcBorders>
          <w:top w:val="nil"/>
          <w:left w:val="nil"/>
          <w:bottom w:val="nil"/>
          <w:right w:val="nil"/>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style>
  <w:style w:type="character" w:styleId="0000ed">
    <w:name w:val="Strong"/>
    <w:basedOn w:val="0000cd"/>
    <w:uiPriority w:val="22"/>
    <w:qFormat w:val="1"/>
    <w:rsid w:val="00FC693F"/>
    <w:rPr>
      <w:b w:val="1"/>
      <w:bCs w:val="1"/>
    </w:rPr>
  </w:style>
  <w:style w:type="table" w:styleId="000127">
    <w:name w:val="Medium List 2 Accent 5"/>
    <w:basedOn w:val="0000ce"/>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nwCell">
      <w:tblPr/>
      <w:tcPr>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swCell">
      <w:tblPr/>
      <w:tcPr>
        <w:tcBorders>
          <w:top w:val="nil"/>
        </w:tcBorders>
      </w:tcPr>
    </w:tblStylePr>
    <w:tblStylePr w:type="band1Horz">
      <w:tblPr/>
      <w:tcPr>
        <w:tcBorders>
          <w:top w:val="nil"/>
          <w:bottom w:val="nil"/>
          <w:insideH w:val="nil"/>
          <w:insideV w:val="nil"/>
        </w:tcBorders>
        <w:shd w:val="clear" w:color="auto" w:fill="D2EAF1" w:themeFill="accent5" w:themeFillTint="3F"/>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style>
  <w:style w:type="paragraph" w:styleId="0000e7">
    <w:name w:val="List Continue 3"/>
    <w:basedOn w:val="0000ba"/>
    <w:uiPriority w:val="99"/>
    <w:unhideWhenUsed w:val="1"/>
    <w:rsid w:val="0029639D"/>
    <w:pPr>
      <w:spacing w:after="120"/>
      <w:ind w:left="1080"/>
      <w:contextualSpacing w:val="1"/>
    </w:pPr>
  </w:style>
  <w:style w:type="table" w:styleId="00014c">
    <w:name w:val="Colorful List"/>
    <w:basedOn w:val="0000ce"/>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lastCol">
      <w:rPr>
        <w:b w:val="1"/>
        <w:bCs w:val="1"/>
      </w:rPr>
    </w:tblStylePr>
    <w:tblStylePr w:type="band1Horz">
      <w:tblPr/>
      <w:tcPr>
        <w:shd w:val="clear" w:color="auto" w:fill="CCCCCC" w:themeFill="text1" w:themeFillTint="33"/>
      </w:tc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band1Vert">
      <w:tblPr/>
      <w:tcPr>
        <w:tcBorders>
          <w:top w:val="nil"/>
          <w:left w:val="nil"/>
          <w:bottom w:val="nil"/>
          <w:right w:val="nil"/>
          <w:insideH w:val="nil"/>
          <w:insideV w:val="nil"/>
        </w:tcBorders>
        <w:shd w:val="clear" w:color="auto" w:fill="C0C0C0" w:themeFill="text1" w:themeFillTint="3F"/>
      </w:tc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firstCol">
      <w:rPr>
        <w:b w:val="1"/>
        <w:bCs w:val="1"/>
      </w:rPr>
    </w:tblStylePr>
  </w:style>
  <w:style w:type="table" w:styleId="0000fa">
    <w:name w:val="Light Shading Accent 2"/>
    <w:basedOn w:val="0000ce"/>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band1Vert">
      <w:tblPr/>
      <w:tcPr>
        <w:tcBorders>
          <w:left w:val="nil"/>
          <w:right w:val="nil"/>
          <w:insideH w:val="nil"/>
          <w:insideV w:val="nil"/>
        </w:tcBorders>
        <w:shd w:val="clear" w:color="auto" w:fill="EFD3D2" w:themeFill="accent2" w:themeFillTint="3F"/>
      </w:tcPr>
    </w:tblStylePr>
    <w:tblStylePr w:type="la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val="1"/>
        <w:bCs w:val="1"/>
      </w:rPr>
    </w:tblStylePr>
    <w:tblStylePr w:type="lastCol">
      <w:rPr>
        <w:b w:val="1"/>
        <w:bCs w:val="1"/>
      </w:rPr>
    </w:tblStylePr>
    <w:tblStylePr w:type="band1Horz">
      <w:tblPr/>
      <w:tcPr>
        <w:tcBorders>
          <w:left w:val="nil"/>
          <w:right w:val="nil"/>
          <w:insideH w:val="nil"/>
          <w:insideV w:val="nil"/>
        </w:tcBorders>
        <w:shd w:val="clear" w:color="auto" w:fill="EFD3D2" w:themeFill="accent2" w:themeFillTint="3F"/>
      </w:tcPr>
    </w:tblStylePr>
  </w:style>
  <w:style w:type="table" w:styleId="00014b">
    <w:name w:val="Colorful Shading Accent 6"/>
    <w:basedOn w:val="0000ce"/>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neCell">
      <w:rPr>
        <w:color w:val="000000" w:themeColor="text1"/>
      </w:rPr>
    </w:tblStylePr>
    <w:tblStylePr w:type="nwCell">
      <w:rPr>
        <w:color w:val="000000" w:themeColor="text1"/>
      </w:r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lastRow">
      <w:rPr>
        <w:b w:val="1"/>
        <w:bCs w:val="1"/>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firstRow">
      <w:rPr>
        <w:b w:val="1"/>
        <w:bCs w:val="1"/>
      </w:rPr>
      <w:tblPr/>
      <w:tcPr>
        <w:tcBorders>
          <w:top w:val="nil"/>
          <w:left w:val="nil"/>
          <w:bottom w:val="single" w:color="4BACC6" w:themeColor="accent5" w:sz="24" w:space="0"/>
          <w:right w:val="nil"/>
          <w:insideH w:val="nil"/>
          <w:insideV w:val="nil"/>
        </w:tcBorders>
        <w:shd w:val="clear" w:color="auto" w:fill="FFFFFF" w:themeFill="background1"/>
      </w:tcPr>
    </w:tblStylePr>
  </w:style>
  <w:style w:type="paragraph" w:styleId="0000f6">
    <w:name w:val="TOC Heading"/>
    <w:basedOn w:val="0000bb"/>
    <w:next w:val="0000ba"/>
    <w:uiPriority w:val="39"/>
    <w:semiHidden w:val="1"/>
    <w:unhideWhenUsed w:val="1"/>
    <w:qFormat w:val="1"/>
    <w:rsid w:val="00FC693F"/>
    <w:pPr>
      <w:outlineLvl w:val="9"/>
    </w:pPr>
  </w:style>
  <w:style w:type="paragraph" w:styleId="0000e8">
    <w:name w:val="macro"/>
    <w:link w:val="0000e9"/>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table" w:styleId="000105">
    <w:name w:val="Light List Accent 6"/>
    <w:basedOn w:val="0000ce"/>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shd w:val="clear" w:color="auto" w:fill="F79646" w:themeFill="accent6"/>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firstCol">
      <w:rPr>
        <w:b w:val="1"/>
        <w:bCs w:val="1"/>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Col">
      <w:rPr>
        <w:b w:val="1"/>
        <w:bCs w:val="1"/>
      </w:rPr>
    </w:tblStylePr>
    <w:tblStylePr w:type="lastRow">
      <w:pPr>
        <w:spacing w:before="0" w:after="0" w:line="240" w:lineRule="auto"/>
      </w:pPr>
      <w:rPr>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style>
  <w:style w:type="table" w:styleId="000158">
    <w:name w:val="Colorful Grid Accent 5"/>
    <w:basedOn w:val="0000ce"/>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lastCol">
      <w:rPr>
        <w:color w:val="FFFFFF" w:themeColor="background1"/>
      </w:rPr>
      <w:tblPr/>
      <w:tcPr>
        <w:shd w:val="clear" w:color="auto" w:fill="31849B" w:themeFill="accent5" w:themeFillShade="BF"/>
      </w:tcPr>
    </w:tblStylePr>
    <w:tblStylePr w:type="fir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lastRow">
      <w:rPr>
        <w:b w:val="1"/>
        <w:bCs w:val="1"/>
        <w:color w:val="000000" w:themeColor="text1"/>
      </w:rPr>
      <w:tblPr/>
      <w:tcPr>
        <w:shd w:val="clear" w:color="auto" w:fill="B6DDE8" w:themeFill="accent5" w:themeFillTint="66"/>
      </w:tcPr>
    </w:tblStylePr>
    <w:tblStylePr w:type="band1Horz">
      <w:tblPr/>
      <w:tcPr>
        <w:shd w:val="clear" w:color="auto" w:fill="A5D5E2" w:themeFill="accent5" w:themeFillTint="7F"/>
      </w:tcPr>
    </w:tblStylePr>
    <w:tblStylePr w:type="firstRow">
      <w:rPr>
        <w:b w:val="1"/>
        <w:bCs w:val="1"/>
      </w:rPr>
      <w:tblPr/>
      <w:tcPr>
        <w:shd w:val="clear" w:color="auto" w:fill="B6DDE8" w:themeFill="accent5" w:themeFillTint="66"/>
      </w:tcPr>
    </w:tblStylePr>
  </w:style>
  <w:style w:type="table" w:styleId="000119">
    <w:name w:val="Medium Shading 2 Accent 5"/>
    <w:basedOn w:val="0000ce"/>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D8D8D8" w:themeFill="background1" w:themeFillShade="D8"/>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style>
  <w:style w:type="table" w:styleId="00013b">
    <w:name w:val="Medium Grid 3 Accent 4"/>
    <w:basedOn w:val="0000ce"/>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style>
  <w:style w:type="paragraph" w:styleId="0000bb">
    <w:name w:val="heading 1"/>
    <w:basedOn w:val="0000ba"/>
    <w:next w:val="0000ba"/>
    <w:link w:val="0000bc"/>
    <w:uiPriority w:val="9"/>
    <w:qFormat w:val="1"/>
    <w:rsid w:val="00FC693F"/>
    <w:pPr>
      <w:keepNext w:val="1"/>
      <w:keepLines w:val="1"/>
      <w:spacing w:before="480" w:after="0"/>
      <w:outlineLvl w:val="0"/>
    </w:pPr>
    <w:rPr>
      <w:rFonts w:asciiTheme="majorHAnsi" w:hAnsiTheme="majorHAnsi" w:eastAsiaTheme="majorEastAsia" w:cstheme="majorBidi"/>
      <w:b w:val="1"/>
      <w:bCs w:val="1"/>
      <w:color w:val="365F91" w:themeColor="accent1" w:themeShade="BF"/>
      <w:sz w:val="28"/>
      <w:szCs w:val="28"/>
    </w:rPr>
  </w:style>
  <w:style w:type="table" w:styleId="0000f7">
    <w:name w:val="Table Grid"/>
    <w:basedOn w:val="0000ce"/>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0000df">
    <w:name w:val="List Bullet"/>
    <w:basedOn w:val="0000ba"/>
    <w:uiPriority w:val="99"/>
    <w:unhideWhenUsed w:val="1"/>
    <w:rsid w:val="00326F90"/>
    <w:pPr>
      <w:numPr>
        <w:numId w:val="4"/>
      </w:numPr>
      <w:contextualSpacing w:val="1"/>
    </w:pPr>
  </w:style>
  <w:style w:type="table" w:styleId="00014f">
    <w:name w:val="Colorful List Accent 3"/>
    <w:basedOn w:val="0000ce"/>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lastRow">
      <w:rPr>
        <w:b w:val="1"/>
        <w:bCs w:val="1"/>
        <w:color w:val="664E82" w:themeColor="accent4" w:themeShade="CC"/>
      </w:rPr>
      <w:tblPr/>
      <w:tcPr>
        <w:tcBorders>
          <w:top w:val="single" w:color="000000" w:themeColor="text1" w:sz="12" w:space="0"/>
        </w:tcBorders>
        <w:shd w:val="clear" w:color="auto" w:fill="FFFFFF" w:themeFill="background1"/>
      </w:tcPr>
    </w:tblStylePr>
    <w:tblStylePr w:type="la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664E82" w:themeFill="accent4" w:themeFillShade="CC"/>
      </w:tcPr>
    </w:tblStylePr>
    <w:tblStylePr w:type="band1Horz">
      <w:tblPr/>
      <w:tcPr>
        <w:shd w:val="clear" w:color="auto" w:fill="EAF1DD" w:themeFill="accent3" w:themeFillTint="33"/>
      </w:tcPr>
    </w:tblStylePr>
    <w:tblStylePr w:type="firstCol">
      <w:rPr>
        <w:b w:val="1"/>
        <w:bCs w:val="1"/>
      </w:rPr>
    </w:tblStylePr>
    <w:tblStylePr w:type="band1Vert">
      <w:tblPr/>
      <w:tcPr>
        <w:tcBorders>
          <w:top w:val="nil"/>
          <w:left w:val="nil"/>
          <w:bottom w:val="nil"/>
          <w:right w:val="nil"/>
          <w:insideH w:val="nil"/>
          <w:insideV w:val="nil"/>
        </w:tcBorders>
        <w:shd w:val="clear" w:color="auto" w:fill="E6EED5" w:themeFill="accent3" w:themeFillTint="3F"/>
      </w:tcPr>
    </w:tblStylePr>
  </w:style>
  <w:style w:type="table" w:styleId="000122">
    <w:name w:val="Medium List 2"/>
    <w:basedOn w:val="0000ce"/>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band1Horz">
      <w:tblPr/>
      <w:tcPr>
        <w:tcBorders>
          <w:top w:val="nil"/>
          <w:bottom w:val="nil"/>
          <w:insideH w:val="nil"/>
          <w:insideV w:val="nil"/>
        </w:tcBorders>
        <w:shd w:val="clear" w:color="auto" w:fill="C0C0C0" w:themeFill="text1" w:themeFillTint="3F"/>
      </w:tcPr>
    </w:tblStyle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nwCell">
      <w:tblPr/>
      <w:tcPr>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swCell">
      <w:tblPr/>
      <w:tcPr>
        <w:tcBorders>
          <w:top w:val="nil"/>
        </w:tcBorders>
      </w:tcPr>
    </w:tblStylePr>
  </w:style>
  <w:style w:type="table" w:styleId="000103">
    <w:name w:val="Light List Accent 4"/>
    <w:basedOn w:val="0000ce"/>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pPr>
        <w:spacing w:before="0" w:after="0" w:line="240" w:lineRule="auto"/>
      </w:pPr>
      <w:rPr>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lastCol">
      <w:rPr>
        <w:b w:val="1"/>
        <w:bCs w:val="1"/>
      </w:rPr>
    </w:tblStylePr>
    <w:tblStylePr w:type="firstRow">
      <w:pPr>
        <w:spacing w:before="0" w:after="0" w:line="240" w:lineRule="auto"/>
      </w:pPr>
      <w:rPr>
        <w:b w:val="1"/>
        <w:bCs w:val="1"/>
        <w:color w:val="FFFFFF" w:themeColor="background1"/>
      </w:rPr>
      <w:tblPr/>
      <w:tcPr>
        <w:shd w:val="clear" w:color="auto" w:fill="8064A2" w:themeFill="accent4"/>
      </w:tcPr>
    </w:tblStylePr>
    <w:tblStylePr w:type="firstCol">
      <w:rPr>
        <w:b w:val="1"/>
        <w:bCs w:val="1"/>
      </w:r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000115">
    <w:name w:val="Medium Shading 2 Accent 1"/>
    <w:basedOn w:val="0000ce"/>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cPr>
        <w:tcBorders>
          <w:left w:val="nil"/>
          <w:right w:val="nil"/>
          <w:insideH w:val="nil"/>
          <w:insideV w:val="nil"/>
        </w:tcBorders>
        <w:shd w:val="clear" w:color="auto" w:fill="4F81BD" w:themeFill="accent1"/>
      </w:tcPr>
    </w:tblStylePr>
    <w:tblStylePr w:type="band1Horz">
      <w:tblPr/>
      <w:tcPr>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neCell">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style>
  <w:style w:type="table" w:styleId="000113">
    <w:name w:val="Medium Shading 1 Accent 6"/>
    <w:basedOn w:val="0000ce"/>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band1Vert">
      <w:tblPr/>
      <w:tcPr>
        <w:shd w:val="clear" w:color="auto" w:fill="FDE4D0" w:themeFill="accent6" w:themeFillTint="3F"/>
      </w:tcPr>
    </w:tblStylePr>
    <w:tblStylePr w:type="lastCol">
      <w:rPr>
        <w:b w:val="1"/>
        <w:bCs w:val="1"/>
      </w:rPr>
    </w:tblStylePr>
    <w:tblStylePr w:type="lastRow">
      <w:pPr>
        <w:spacing w:before="0" w:after="0" w:line="240" w:lineRule="auto"/>
      </w:pPr>
      <w:rPr>
        <w:b w:val="1"/>
        <w:bCs w:val="1"/>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val="1"/>
        <w:bCs w:val="1"/>
      </w:r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tblStylePr w:type="firstRow">
      <w:pPr>
        <w:spacing w:before="0" w:after="0" w:line="240" w:lineRule="auto"/>
      </w:pPr>
      <w:rPr>
        <w:b w:val="1"/>
        <w:bCs w:val="1"/>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style>
  <w:style w:type="table" w:styleId="000134">
    <w:name w:val="Medium Grid 2 Accent 4"/>
    <w:basedOn w:val="0000ce"/>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firstRow">
      <w:rPr>
        <w:b w:val="1"/>
        <w:bCs w:val="1"/>
        <w:color w:val="000000" w:themeColor="text1"/>
      </w:rPr>
      <w:tblPr/>
      <w:tcPr>
        <w:shd w:val="clear" w:color="auto" w:fill="F2EFF6" w:themeFill="accent4" w:themeFillTint="19"/>
      </w:tcPr>
    </w:tblStylePr>
    <w:tblStylePr w:type="nwCell">
      <w:tblPr/>
      <w:tcPr>
        <w:shd w:val="clear" w:color="auto" w:fill="FFFFFF" w:themeFill="background1"/>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band1Vert">
      <w:tblPr/>
      <w:tcPr>
        <w:shd w:val="clear" w:color="auto" w:fill="BFB1D0" w:themeFill="accent4"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style>
  <w:style w:type="paragraph" w:styleId="0000bf">
    <w:name w:val="heading 3"/>
    <w:basedOn w:val="0000ba"/>
    <w:next w:val="0000ba"/>
    <w:link w:val="0000c0"/>
    <w:uiPriority w:val="9"/>
    <w:unhideWhenUsed w:val="1"/>
    <w:qFormat w:val="1"/>
    <w:rsid w:val="00FC693F"/>
    <w:pPr>
      <w:keepNext w:val="1"/>
      <w:keepLines w:val="1"/>
      <w:spacing w:before="200" w:after="0"/>
      <w:outlineLvl w:val="2"/>
    </w:pPr>
    <w:rPr>
      <w:rFonts w:asciiTheme="majorHAnsi" w:hAnsiTheme="majorHAnsi" w:eastAsiaTheme="majorEastAsia" w:cstheme="majorBidi"/>
      <w:b w:val="1"/>
      <w:bCs w:val="1"/>
      <w:color w:val="4F81BD" w:themeColor="accent1"/>
    </w:rPr>
  </w:style>
  <w:style w:type="table" w:styleId="00012d">
    <w:name w:val="Medium Grid 1 Accent 4"/>
    <w:basedOn w:val="0000ce"/>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Col">
      <w:rPr>
        <w:b w:val="1"/>
        <w:bCs w:val="1"/>
      </w:rPr>
    </w:tblStylePr>
    <w:tblStylePr w:type="band1Horz">
      <w:tblPr/>
      <w:tcPr>
        <w:shd w:val="clear" w:color="auto" w:fill="BFB1D0" w:themeFill="accent4" w:themeFillTint="7F"/>
      </w:tcPr>
    </w:tblStylePr>
    <w:tblStylePr w:type="firstRow">
      <w:rPr>
        <w:b w:val="1"/>
        <w:bCs w:val="1"/>
      </w:rPr>
    </w:tblStylePr>
    <w:tblStylePr w:type="band1Vert">
      <w:tblPr/>
      <w:tcPr>
        <w:shd w:val="clear" w:color="auto" w:fill="BFB1D0" w:themeFill="accent4" w:themeFillTint="7F"/>
      </w:tcPr>
    </w:tblStylePr>
    <w:tblStylePr w:type="lastRow">
      <w:rPr>
        <w:b w:val="1"/>
        <w:bCs w:val="1"/>
      </w:rPr>
      <w:tblPr/>
      <w:tcPr>
        <w:tcBorders>
          <w:top w:val="single" w:color="9F8AB9" w:themeColor="accent4" w:themeTint="BF" w:sz="18" w:space="0"/>
        </w:tcBorders>
      </w:tcPr>
    </w:tblStylePr>
    <w:tblStylePr w:type="lastCol">
      <w:rPr>
        <w:b w:val="1"/>
        <w:bCs w:val="1"/>
      </w:rPr>
    </w:tblStylePr>
  </w:style>
  <w:style w:type="character" w:styleId="0000ca" w:customStyle="1">
    <w:name w:val="Heading 8 Char"/>
    <w:basedOn w:val="0000cd"/>
    <w:link w:val="0000c9"/>
    <w:uiPriority w:val="9"/>
    <w:semiHidden w:val="1"/>
    <w:rsid w:val="00FC693F"/>
    <w:rPr>
      <w:rFonts w:asciiTheme="majorHAnsi" w:hAnsiTheme="majorHAnsi" w:eastAsiaTheme="majorEastAsia" w:cstheme="majorBidi"/>
      <w:color w:val="4F81BD" w:themeColor="accent1"/>
      <w:sz w:val="20"/>
      <w:szCs w:val="20"/>
    </w:rPr>
  </w:style>
  <w:style w:type="table" w:styleId="00013a">
    <w:name w:val="Medium Grid 3 Accent 3"/>
    <w:basedOn w:val="0000ce"/>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style>
  <w:style w:type="table" w:styleId="000153">
    <w:name w:val="Colorful Grid"/>
    <w:basedOn w:val="0000ce"/>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tblStylePr w:type="lastRow">
      <w:rPr>
        <w:b w:val="1"/>
        <w:bCs w:val="1"/>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firstRow">
      <w:rPr>
        <w:b w:val="1"/>
        <w:bCs w:val="1"/>
      </w:rPr>
      <w:tblPr/>
      <w:tcPr>
        <w:shd w:val="clear" w:color="auto" w:fill="999999" w:themeFill="text1" w:themeFillTint="66"/>
      </w:tcPr>
    </w:tblStylePr>
  </w:style>
  <w:style w:type="table" w:styleId="000142">
    <w:name w:val="Dark List Accent 4"/>
    <w:basedOn w:val="0000ce"/>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style>
  <w:style w:type="table" w:styleId="000111">
    <w:name w:val="Medium Shading 1 Accent 4"/>
    <w:basedOn w:val="0000ce"/>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band1Vert">
      <w:tblPr/>
      <w:tcPr>
        <w:shd w:val="clear" w:color="auto" w:fill="DFD8E8" w:themeFill="accent4" w:themeFillTint="3F"/>
      </w:tcPr>
    </w:tblStylePr>
    <w:tblStylePr w:type="firstRow">
      <w:pPr>
        <w:spacing w:before="0" w:after="0" w:line="240" w:lineRule="auto"/>
      </w:pPr>
      <w:rPr>
        <w:b w:val="1"/>
        <w:bCs w:val="1"/>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Col">
      <w:rPr>
        <w:b w:val="1"/>
        <w:bCs w:val="1"/>
      </w:rPr>
    </w:tblStylePr>
    <w:tblStylePr w:type="lastRow">
      <w:pPr>
        <w:spacing w:before="0" w:after="0" w:line="240" w:lineRule="auto"/>
      </w:pPr>
      <w:rPr>
        <w:b w:val="1"/>
        <w:bCs w:val="1"/>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band2Horz">
      <w:tblPr/>
      <w:tcPr>
        <w:tcBorders>
          <w:insideH w:val="nil"/>
          <w:insideV w:val="nil"/>
        </w:tcBorders>
      </w:tcPr>
    </w:tblStylePr>
    <w:tblStylePr w:type="firstCol">
      <w:rPr>
        <w:b w:val="1"/>
        <w:bCs w:val="1"/>
      </w:rPr>
    </w:tblStylePr>
    <w:tblStylePr w:type="band1Horz">
      <w:tblPr/>
      <w:tcPr>
        <w:tcBorders>
          <w:insideH w:val="nil"/>
          <w:insideV w:val="nil"/>
        </w:tcBorders>
        <w:shd w:val="clear" w:color="auto" w:fill="DFD8E8" w:themeFill="accent4" w:themeFillTint="3F"/>
      </w:tcPr>
    </w:tblStylePr>
  </w:style>
  <w:style w:type="table" w:styleId="000143">
    <w:name w:val="Dark List Accent 5"/>
    <w:basedOn w:val="0000ce"/>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band1Vert">
      <w:tblPr/>
      <w:tcPr>
        <w:tcBorders>
          <w:top w:val="nil"/>
          <w:left w:val="nil"/>
          <w:bottom w:val="nil"/>
          <w:right w:val="nil"/>
          <w:insideH w:val="nil"/>
          <w:insideV w:val="nil"/>
        </w:tcBorders>
        <w:shd w:val="clear" w:color="auto" w:fill="31849B" w:themeFill="accent5" w:themeFillShade="B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paragraph" w:styleId="0000ef">
    <w:name w:val="Intense Quote"/>
    <w:basedOn w:val="0000ba"/>
    <w:next w:val="0000ba"/>
    <w:link w:val="0000f0"/>
    <w:uiPriority w:val="30"/>
    <w:qFormat w:val="1"/>
    <w:rsid w:val="00FC693F"/>
    <w:pPr>
      <w:pBdr>
        <w:bottom w:val="single" w:color="4F81BD" w:themeColor="accent1" w:sz="4" w:space="4"/>
      </w:pBdr>
      <w:spacing w:before="200" w:after="280"/>
      <w:ind w:left="936" w:right="936"/>
    </w:pPr>
    <w:rPr>
      <w:b w:val="1"/>
      <w:bCs w:val="1"/>
      <w:i w:val="1"/>
      <w:iCs w:val="1"/>
      <w:color w:val="4F81BD" w:themeColor="accent1"/>
    </w:rPr>
  </w:style>
  <w:style w:type="table" w:styleId="000145">
    <w:name w:val="Colorful Shading"/>
    <w:basedOn w:val="0000ce"/>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Horz">
      <w:tblPr/>
      <w:tcPr>
        <w:shd w:val="clear" w:color="auto" w:fill="808080" w:themeFill="text1" w:themeFillTint="7F"/>
      </w:tcPr>
    </w:tblStylePr>
    <w:tblStylePr w:type="nwCell">
      <w:rPr>
        <w:color w:val="000000" w:themeColor="text1"/>
      </w:rPr>
    </w:tblStylePr>
    <w:tblStylePr w:type="neCell">
      <w:rPr>
        <w:color w:val="000000" w:themeColor="text1"/>
      </w:r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band1Vert">
      <w:tblPr/>
      <w:tcPr>
        <w:shd w:val="clear" w:color="auto" w:fill="999999" w:themeFill="text1" w:themeFillTint="66"/>
      </w:tcPr>
    </w:tblStylePr>
    <w:tblStylePr w:type="lastRow">
      <w:rPr>
        <w:b w:val="1"/>
        <w:bCs w:val="1"/>
        <w:color w:val="FFFFFF" w:themeColor="background1"/>
      </w:rPr>
      <w:tblPr/>
      <w:tcPr>
        <w:tcBorders>
          <w:top w:val="single" w:color="FFFFFF" w:themeColor="background1" w:sz="6" w:space="0"/>
        </w:tcBorders>
        <w:shd w:val="clear" w:color="auto" w:fill="000000" w:themeFill="text1" w:themeFillShade="99"/>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style>
  <w:style w:type="paragraph" w:styleId="0000c7">
    <w:name w:val="heading 7"/>
    <w:basedOn w:val="0000ba"/>
    <w:next w:val="0000ba"/>
    <w:link w:val="0000c8"/>
    <w:uiPriority w:val="9"/>
    <w:semiHidden w:val="1"/>
    <w:unhideWhenUsed w:val="1"/>
    <w:qFormat w:val="1"/>
    <w:rsid w:val="00FC693F"/>
    <w:pPr>
      <w:keepNext w:val="1"/>
      <w:keepLines w:val="1"/>
      <w:spacing w:before="200" w:after="0"/>
      <w:outlineLvl w:val="6"/>
    </w:pPr>
    <w:rPr>
      <w:rFonts w:asciiTheme="majorHAnsi" w:hAnsiTheme="majorHAnsi" w:eastAsiaTheme="majorEastAsia" w:cstheme="majorBidi"/>
      <w:i w:val="1"/>
      <w:iCs w:val="1"/>
      <w:color w:val="404040" w:themeColor="text1" w:themeTint="BF"/>
    </w:rPr>
  </w:style>
  <w:style w:type="table" w:styleId="000126">
    <w:name w:val="Medium List 2 Accent 4"/>
    <w:basedOn w:val="0000ce"/>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swCell">
      <w:tblPr/>
      <w:tcPr>
        <w:tcBorders>
          <w:top w:val="nil"/>
        </w:tcBorders>
      </w:tcPr>
    </w:tblStylePr>
    <w:tblStylePr w:type="band1Vert">
      <w:tblPr/>
      <w:tcPr>
        <w:tcBorders>
          <w:left w:val="nil"/>
          <w:right w:val="nil"/>
          <w:insideH w:val="nil"/>
          <w:insideV w:val="nil"/>
        </w:tcBorders>
        <w:shd w:val="clear" w:color="auto" w:fill="DFD8E8" w:themeFill="accent4" w:themeFillTint="3F"/>
      </w:tcPr>
    </w:tblStyle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FD8E8" w:themeFill="accent4" w:themeFillTint="3F"/>
      </w:tcPr>
    </w:tblStylePr>
  </w:style>
  <w:style w:type="paragraph" w:styleId="0000d5">
    <w:name w:val="List Paragraph"/>
    <w:basedOn w:val="0000ba"/>
    <w:uiPriority w:val="34"/>
    <w:qFormat w:val="1"/>
    <w:rsid w:val="00FC693F"/>
    <w:pPr>
      <w:ind w:left="720"/>
      <w:contextualSpacing w:val="1"/>
    </w:pPr>
  </w:style>
  <w:style w:type="table" w:styleId="00011f">
    <w:name w:val="Medium List 1 Accent 4"/>
    <w:basedOn w:val="0000ce"/>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lastCol">
      <w:rPr>
        <w:b w:val="1"/>
        <w:bCs w:val="1"/>
      </w:rPr>
      <w:tblPr/>
      <w:tcPr>
        <w:tcBorders>
          <w:top w:val="single" w:color="8064A2" w:themeColor="accent4" w:sz="8" w:space="0"/>
          <w:bottom w:val="single" w:color="8064A2" w:themeColor="accent4" w:sz="8" w:space="0"/>
        </w:tcBorders>
      </w:tcPr>
    </w:tblStylePr>
    <w:tblStylePr w:type="firstCol">
      <w:rPr>
        <w:b w:val="1"/>
        <w:bCs w:val="1"/>
      </w:rPr>
    </w:tblStylePr>
    <w:tblStylePr w:type="band1Horz">
      <w:tblPr/>
      <w:tcPr>
        <w:shd w:val="clear" w:color="auto" w:fill="DFD8E8" w:themeFill="accent4" w:themeFillTint="3F"/>
      </w:tcPr>
    </w:tblStylePr>
    <w:tblStylePr w:type="band1Vert">
      <w:tblPr/>
      <w:tcPr>
        <w:shd w:val="clear" w:color="auto" w:fill="DFD8E8" w:themeFill="accent4" w:themeFillTint="3F"/>
      </w:tcPr>
    </w:tblStyle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val="1"/>
        <w:bCs w:val="1"/>
        <w:color w:val="1F497D" w:themeColor="text2"/>
      </w:rPr>
      <w:tblPr/>
      <w:tcPr>
        <w:tcBorders>
          <w:top w:val="single" w:color="8064A2" w:themeColor="accent4" w:sz="8" w:space="0"/>
          <w:bottom w:val="single" w:color="8064A2" w:themeColor="accent4" w:sz="8" w:space="0"/>
        </w:tcBorders>
      </w:tcPr>
    </w:tblStylePr>
  </w:style>
  <w:style w:type="table" w:styleId="00010a">
    <w:name w:val="Light Grid Accent 4"/>
    <w:basedOn w:val="0000ce"/>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lastCol">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firstCol">
      <w:rPr>
        <w:rFonts w:asciiTheme="majorHAnsi" w:hAnsiTheme="majorHAnsi" w:eastAsiaTheme="majorEastAsia" w:cstheme="majorBidi"/>
        <w:b w:val="1"/>
        <w:bCs w:val="1"/>
      </w:r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paragraph" w:styleId="0000cb">
    <w:name w:val="heading 9"/>
    <w:basedOn w:val="0000ba"/>
    <w:next w:val="0000ba"/>
    <w:link w:val="0000cc"/>
    <w:uiPriority w:val="9"/>
    <w:semiHidden w:val="1"/>
    <w:unhideWhenUsed w:val="1"/>
    <w:qFormat w:val="1"/>
    <w:rsid w:val="00FC693F"/>
    <w:pPr>
      <w:keepNext w:val="1"/>
      <w:keepLines w:val="1"/>
      <w:spacing w:before="200" w:after="0"/>
      <w:outlineLvl w:val="8"/>
    </w:pPr>
    <w:rPr>
      <w:rFonts w:asciiTheme="majorHAnsi" w:hAnsiTheme="majorHAnsi" w:eastAsiaTheme="majorEastAsia" w:cstheme="majorBidi"/>
      <w:i w:val="1"/>
      <w:iCs w:val="1"/>
      <w:color w:val="404040" w:themeColor="text1" w:themeTint="BF"/>
      <w:sz w:val="20"/>
      <w:szCs w:val="20"/>
    </w:rPr>
  </w:style>
  <w:style w:type="table" w:styleId="00014d">
    <w:name w:val="Colorful List Accent 1"/>
    <w:basedOn w:val="0000ce"/>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Col">
      <w:rPr>
        <w:b w:val="1"/>
        <w:bCs w:val="1"/>
      </w:r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lastCol">
      <w:rPr>
        <w:b w:val="1"/>
        <w:bCs w:val="1"/>
      </w:rPr>
    </w:tblStylePr>
    <w:tblStylePr w:type="band1Horz">
      <w:tblPr/>
      <w:tcPr>
        <w:shd w:val="clear" w:color="auto" w:fill="DBE5F1" w:themeFill="accent1" w:themeFillTint="33"/>
      </w:tc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style>
  <w:style w:type="character" w:styleId="0000bc" w:customStyle="1">
    <w:name w:val="Heading 1 Char"/>
    <w:basedOn w:val="0000cd"/>
    <w:link w:val="0000bb"/>
    <w:uiPriority w:val="9"/>
    <w:rsid w:val="00FC693F"/>
    <w:rPr>
      <w:rFonts w:asciiTheme="majorHAnsi" w:hAnsiTheme="majorHAnsi" w:eastAsiaTheme="majorEastAsia" w:cstheme="majorBidi"/>
      <w:b w:val="1"/>
      <w:bCs w:val="1"/>
      <w:color w:val="365F91" w:themeColor="accent1" w:themeShade="BF"/>
      <w:sz w:val="28"/>
      <w:szCs w:val="28"/>
    </w:rPr>
  </w:style>
  <w:style w:type="paragraph" w:styleId="0000c9">
    <w:name w:val="heading 8"/>
    <w:basedOn w:val="0000ba"/>
    <w:next w:val="0000ba"/>
    <w:link w:val="0000ca"/>
    <w:uiPriority w:val="9"/>
    <w:semiHidden w:val="1"/>
    <w:unhideWhenUsed w:val="1"/>
    <w:qFormat w:val="1"/>
    <w:rsid w:val="00FC693F"/>
    <w:pPr>
      <w:keepNext w:val="1"/>
      <w:keepLines w:val="1"/>
      <w:spacing w:before="200" w:after="0"/>
      <w:outlineLvl w:val="7"/>
    </w:pPr>
    <w:rPr>
      <w:rFonts w:asciiTheme="majorHAnsi" w:hAnsiTheme="majorHAnsi" w:eastAsiaTheme="majorEastAsia" w:cstheme="majorBidi"/>
      <w:color w:val="4F81BD" w:themeColor="accent1"/>
      <w:sz w:val="20"/>
      <w:szCs w:val="20"/>
    </w:rPr>
  </w:style>
  <w:style w:type="character" w:styleId="0000d4" w:customStyle="1">
    <w:name w:val="Subtitle Char"/>
    <w:basedOn w:val="0000cd"/>
    <w:link w:val="0000d3"/>
    <w:uiPriority w:val="11"/>
    <w:rsid w:val="00FC693F"/>
    <w:rPr>
      <w:rFonts w:asciiTheme="majorHAnsi" w:hAnsiTheme="majorHAnsi" w:eastAsiaTheme="majorEastAsia" w:cstheme="majorBidi"/>
      <w:i w:val="1"/>
      <w:iCs w:val="1"/>
      <w:color w:val="4F81BD" w:themeColor="accent1"/>
      <w:spacing w:val="15"/>
      <w:sz w:val="24"/>
      <w:szCs w:val="24"/>
    </w:rPr>
  </w:style>
  <w:style w:type="table" w:styleId="00011b">
    <w:name w:val="Medium List 1"/>
    <w:basedOn w:val="0000ce"/>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lastCol">
      <w:rPr>
        <w:b w:val="1"/>
        <w:bCs w:val="1"/>
      </w:rPr>
      <w:tblPr/>
      <w:tcPr>
        <w:tcBorders>
          <w:top w:val="single" w:color="000000" w:themeColor="text1" w:sz="8" w:space="0"/>
          <w:bottom w:val="single" w:color="000000" w:themeColor="text1" w:sz="8" w:space="0"/>
        </w:tcBorders>
      </w:tcPr>
    </w:tblStylePr>
    <w:tblStylePr w:type="band1Horz">
      <w:tblPr/>
      <w:tcPr>
        <w:shd w:val="clear" w:color="auto" w:fill="C0C0C0" w:themeFill="text1" w:themeFillTint="3F"/>
      </w:tcPr>
    </w:tblStylePr>
    <w:tblStylePr w:type="firstCol">
      <w:rPr>
        <w:b w:val="1"/>
        <w:bCs w:val="1"/>
      </w:rPr>
    </w:tblStylePr>
    <w:tblStylePr w:type="lastRow">
      <w:rPr>
        <w:b w:val="1"/>
        <w:bCs w:val="1"/>
        <w:color w:val="1F497D" w:themeColor="text2"/>
      </w:rPr>
      <w:tblPr/>
      <w:tcPr>
        <w:tcBorders>
          <w:top w:val="single" w:color="000000" w:themeColor="text1" w:sz="8" w:space="0"/>
          <w:bottom w:val="single" w:color="000000" w:themeColor="text1" w:sz="8" w:space="0"/>
        </w:tcBorders>
      </w:tcPr>
    </w:tblStyle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band1Vert">
      <w:tblPr/>
      <w:tcPr>
        <w:shd w:val="clear" w:color="auto" w:fill="C0C0C0" w:themeFill="text1" w:themeFillTint="3F"/>
      </w:tcPr>
    </w:tblStylePr>
  </w:style>
  <w:style w:type="table" w:styleId="000131">
    <w:name w:val="Medium Grid 2 Accent 1"/>
    <w:basedOn w:val="0000ce"/>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EDF2F8" w:themeFill="accent1" w:themeFillTint="19"/>
      </w:tcPr>
    </w:tblStylePr>
    <w:tblStylePr w:type="nwCell">
      <w:tblPr/>
      <w:tcPr>
        <w:shd w:val="clear" w:color="auto" w:fill="FFFFFF" w:themeFill="background1"/>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Vert">
      <w:tblPr/>
      <w:tcPr>
        <w:shd w:val="clear" w:color="auto" w:fill="A7BFDE" w:themeFill="accent1"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style>
  <w:style w:type="character" w:styleId="0000d9" w:customStyle="1">
    <w:name w:val="Body Text 2 Char"/>
    <w:basedOn w:val="0000cd"/>
    <w:link w:val="0000d8"/>
    <w:uiPriority w:val="99"/>
    <w:rsid w:val="00AA1D8D"/>
  </w:style>
  <w:style w:type="table" w:styleId="000136">
    <w:name w:val="Medium Grid 2 Accent 6"/>
    <w:basedOn w:val="0000ce"/>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nwCell">
      <w:tblPr/>
      <w:tcPr>
        <w:shd w:val="clear" w:color="auto" w:fill="FFFFFF" w:themeFill="background1"/>
      </w:tcPr>
    </w:tblStylePr>
    <w:tblStylePr w:type="band1Vert">
      <w:tblPr/>
      <w:tcPr>
        <w:shd w:val="clear" w:color="auto" w:fill="FBCAA2" w:themeFill="accent6"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FEF4EC" w:themeFill="accent6" w:themeFillTint="19"/>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style>
  <w:style w:type="paragraph" w:styleId="0000dc">
    <w:name w:val="List"/>
    <w:basedOn w:val="0000ba"/>
    <w:uiPriority w:val="99"/>
    <w:unhideWhenUsed w:val="1"/>
    <w:rsid w:val="00AA1D8D"/>
    <w:pPr>
      <w:ind w:left="360" w:hanging="360"/>
      <w:contextualSpacing w:val="1"/>
    </w:pPr>
  </w:style>
  <w:style w:type="paragraph" w:styleId="0000de">
    <w:name w:val="List 3"/>
    <w:basedOn w:val="0000ba"/>
    <w:uiPriority w:val="99"/>
    <w:unhideWhenUsed w:val="1"/>
    <w:rsid w:val="00326F90"/>
    <w:pPr>
      <w:ind w:left="1080" w:hanging="360"/>
      <w:contextualSpacing w:val="1"/>
    </w:pPr>
  </w:style>
  <w:style w:type="character" w:styleId="0000c6" w:customStyle="1">
    <w:name w:val="Heading 6 Char"/>
    <w:basedOn w:val="0000cd"/>
    <w:link w:val="0000c5"/>
    <w:uiPriority w:val="9"/>
    <w:semiHidden w:val="1"/>
    <w:rsid w:val="00FC693F"/>
    <w:rPr>
      <w:rFonts w:asciiTheme="majorHAnsi" w:hAnsiTheme="majorHAnsi" w:eastAsiaTheme="majorEastAsia" w:cstheme="majorBidi"/>
      <w:i w:val="1"/>
      <w:iCs w:val="1"/>
      <w:color w:val="243F60" w:themeColor="accent1" w:themeShade="7F"/>
    </w:rPr>
  </w:style>
  <w:style w:type="table" w:styleId="00013c">
    <w:name w:val="Medium Grid 3 Accent 5"/>
    <w:basedOn w:val="0000ce"/>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style>
  <w:style w:type="table" w:styleId="000152">
    <w:name w:val="Colorful List Accent 6"/>
    <w:basedOn w:val="0000ce"/>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Col">
      <w:rPr>
        <w:b w:val="1"/>
        <w:bCs w:val="1"/>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la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348DA5" w:themeFill="accent5" w:themeFillShade="CC"/>
      </w:tcPr>
    </w:tblStylePr>
    <w:tblStylePr w:type="lastRow">
      <w:rPr>
        <w:b w:val="1"/>
        <w:bCs w:val="1"/>
        <w:color w:val="348DA5" w:themeColor="accent5" w:themeShade="CC"/>
      </w:rPr>
      <w:tblPr/>
      <w:tcPr>
        <w:tcBorders>
          <w:top w:val="single" w:color="000000" w:themeColor="text1" w:sz="12" w:space="0"/>
        </w:tcBorders>
        <w:shd w:val="clear" w:color="auto" w:fill="FFFFFF" w:themeFill="background1"/>
      </w:tcPr>
    </w:tblStylePr>
    <w:tblStylePr w:type="band1Horz">
      <w:tblPr/>
      <w:tcPr>
        <w:shd w:val="clear" w:color="auto" w:fill="FDE9D9" w:themeFill="accent6" w:themeFillTint="33"/>
      </w:tcPr>
    </w:tblStylePr>
  </w:style>
  <w:style w:type="table" w:styleId="000139">
    <w:name w:val="Medium Grid 3 Accent 2"/>
    <w:basedOn w:val="0000ce"/>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style>
  <w:style w:type="table" w:styleId="000147">
    <w:name w:val="Colorful Shading Accent 2"/>
    <w:basedOn w:val="0000ce"/>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band1Horz">
      <w:tblPr/>
      <w:tcPr>
        <w:shd w:val="clear" w:color="auto" w:fill="DFA7A6" w:themeFill="accent2" w:themeFillTint="7F"/>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lastRow">
      <w:rPr>
        <w:b w:val="1"/>
        <w:bCs w:val="1"/>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nwCell">
      <w:rPr>
        <w:color w:val="000000" w:themeColor="text1"/>
      </w:rPr>
    </w:tblStylePr>
    <w:tblStylePr w:type="band1Vert">
      <w:tblPr/>
      <w:tcPr>
        <w:shd w:val="clear" w:color="auto" w:fill="E5B8B7" w:themeFill="accent2" w:themeFillTint="66"/>
      </w:tcPr>
    </w:tblStylePr>
    <w:tblStylePr w:type="neCell">
      <w:rPr>
        <w:color w:val="000000" w:themeColor="text1"/>
      </w:rPr>
    </w:tblStylePr>
  </w:style>
  <w:style w:type="table" w:styleId="000150">
    <w:name w:val="Colorful List Accent 4"/>
    <w:basedOn w:val="0000ce"/>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band1Horz">
      <w:tblPr/>
      <w:tcPr>
        <w:shd w:val="clear" w:color="auto" w:fill="E5DFEC" w:themeFill="accent4" w:themeFillTint="33"/>
      </w:tcPr>
    </w:tblStylePr>
    <w:tblStylePr w:type="lastCol">
      <w:rPr>
        <w:b w:val="1"/>
        <w:bCs w:val="1"/>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fir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7E9C40" w:themeFill="accent3" w:themeFillShade="CC"/>
      </w:tcPr>
    </w:tblStylePr>
    <w:tblStylePr w:type="lastRow">
      <w:rPr>
        <w:b w:val="1"/>
        <w:bCs w:val="1"/>
        <w:color w:val="7E9C40" w:themeColor="accent3" w:themeShade="CC"/>
      </w:rPr>
      <w:tblPr/>
      <w:tcPr>
        <w:tcBorders>
          <w:top w:val="single" w:color="000000" w:themeColor="text1" w:sz="12" w:space="0"/>
        </w:tcBorders>
        <w:shd w:val="clear" w:color="auto" w:fill="FFFFFF" w:themeFill="background1"/>
      </w:tcPr>
    </w:tblStylePr>
  </w:style>
  <w:style w:type="character" w:styleId="0000c8" w:customStyle="1">
    <w:name w:val="Heading 7 Char"/>
    <w:basedOn w:val="0000cd"/>
    <w:link w:val="0000c7"/>
    <w:uiPriority w:val="9"/>
    <w:semiHidden w:val="1"/>
    <w:rsid w:val="00FC693F"/>
    <w:rPr>
      <w:rFonts w:asciiTheme="majorHAnsi" w:hAnsiTheme="majorHAnsi" w:eastAsiaTheme="majorEastAsia" w:cstheme="majorBidi"/>
      <w:i w:val="1"/>
      <w:iCs w:val="1"/>
      <w:color w:val="404040" w:themeColor="text1" w:themeTint="BF"/>
    </w:rPr>
  </w:style>
  <w:style w:type="character" w:styleId="0000f5">
    <w:name w:val="Book Title"/>
    <w:basedOn w:val="0000cd"/>
    <w:uiPriority w:val="33"/>
    <w:qFormat w:val="1"/>
    <w:rsid w:val="00FC693F"/>
    <w:rPr>
      <w:b w:val="1"/>
      <w:bCs w:val="1"/>
      <w:smallCaps w:val="1"/>
      <w:spacing w:val="5"/>
    </w:rPr>
  </w:style>
  <w:style w:type="table" w:styleId="000137">
    <w:name w:val="Medium Grid 3"/>
    <w:basedOn w:val="0000ce"/>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style>
  <w:style w:type="table" w:styleId="000151">
    <w:name w:val="Colorful List Accent 5"/>
    <w:basedOn w:val="0000ce"/>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band1Vert">
      <w:tblPr/>
      <w:tcPr>
        <w:tcBorders>
          <w:top w:val="nil"/>
          <w:left w:val="nil"/>
          <w:bottom w:val="nil"/>
          <w:right w:val="nil"/>
          <w:insideH w:val="nil"/>
          <w:insideV w:val="nil"/>
        </w:tcBorders>
        <w:shd w:val="clear" w:color="auto" w:fill="D2EAF1" w:themeFill="accent5" w:themeFillTint="3F"/>
      </w:tcPr>
    </w:tblStylePr>
    <w:tblStylePr w:type="firstRow">
      <w:rPr>
        <w:b w:val="1"/>
        <w:bCs w:val="1"/>
        <w:color w:val="FFFFFF" w:themeColor="background1"/>
      </w:rPr>
      <w:tblPr/>
      <w:tcPr>
        <w:tcBorders>
          <w:bottom w:val="single" w:color="FFFFFF" w:themeColor="background1" w:sz="12" w:space="0"/>
        </w:tcBorders>
        <w:shd w:val="clear" w:color="auto" w:fill="F2730A" w:themeFill="accent6" w:themeFillShade="CC"/>
      </w:tcPr>
    </w:tblStylePr>
    <w:tblStylePr w:type="lastCol">
      <w:rPr>
        <w:b w:val="1"/>
        <w:bCs w:val="1"/>
      </w:rPr>
    </w:tblStylePr>
    <w:tblStylePr w:type="lastRow">
      <w:rPr>
        <w:b w:val="1"/>
        <w:bCs w:val="1"/>
        <w:color w:val="F2730A" w:themeColor="accent6" w:themeShade="CC"/>
      </w:rPr>
      <w:tblPr/>
      <w:tcPr>
        <w:tcBorders>
          <w:top w:val="single" w:color="000000" w:themeColor="text1" w:sz="12" w:space="0"/>
        </w:tcBorders>
        <w:shd w:val="clear" w:color="auto" w:fill="FFFFFF" w:themeFill="background1"/>
      </w:tcPr>
    </w:tblStylePr>
    <w:tblStylePr w:type="band1Horz">
      <w:tblPr/>
      <w:tcPr>
        <w:shd w:val="clear" w:color="auto" w:fill="DAEEF3" w:themeFill="accent5" w:themeFillTint="33"/>
      </w:tcPr>
    </w:tblStylePr>
    <w:tblStylePr w:type="firstCol">
      <w:rPr>
        <w:b w:val="1"/>
        <w:bCs w:val="1"/>
      </w:rPr>
    </w:tblStylePr>
  </w:style>
  <w:style w:type="table" w:styleId="00011c">
    <w:name w:val="Medium List 1 Accent 1"/>
    <w:basedOn w:val="0000ce"/>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lastCol">
      <w:rPr>
        <w:b w:val="1"/>
        <w:bCs w:val="1"/>
      </w:rPr>
      <w:tblPr/>
      <w:tcPr>
        <w:tcBorders>
          <w:top w:val="single" w:color="4F81BD" w:themeColor="accent1" w:sz="8" w:space="0"/>
          <w:bottom w:val="single" w:color="4F81BD" w:themeColor="accent1" w:sz="8" w:space="0"/>
        </w:tcBorders>
      </w:tcPr>
    </w:tblStylePr>
    <w:tblStylePr w:type="lastRow">
      <w:rPr>
        <w:b w:val="1"/>
        <w:bCs w:val="1"/>
        <w:color w:val="1F497D" w:themeColor="text2"/>
      </w:rPr>
      <w:tblPr/>
      <w:tcPr>
        <w:tcBorders>
          <w:top w:val="single" w:color="4F81BD" w:themeColor="accent1" w:sz="8" w:space="0"/>
          <w:bottom w:val="single" w:color="4F81BD" w:themeColor="accent1" w:sz="8" w:space="0"/>
        </w:tcBorders>
      </w:tcPr>
    </w:tblStylePr>
    <w:tblStylePr w:type="firstCol">
      <w:rPr>
        <w:b w:val="1"/>
        <w:bCs w:val="1"/>
      </w:rPr>
    </w:tblStylePr>
    <w:tblStylePr w:type="band1Vert">
      <w:tblPr/>
      <w:tcPr>
        <w:shd w:val="clear" w:color="auto" w:fill="D3DFEE" w:themeFill="accent1" w:themeFillTint="3F"/>
      </w:tcPr>
    </w:tblStyle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band1Horz">
      <w:tblPr/>
      <w:tcPr>
        <w:shd w:val="clear" w:color="auto" w:fill="D3DFEE" w:themeFill="accent1" w:themeFillTint="3F"/>
      </w:tcPr>
    </w:tblStylePr>
  </w:style>
  <w:style w:type="paragraph" w:styleId="0000ba" w:default="1">
    <w:name w:val="Normal"/>
    <w:qFormat w:val="1"/>
    <w:rsid w:val="00FC693F"/>
  </w:style>
  <w:style w:type="table" w:styleId="00011e">
    <w:name w:val="Medium List 1 Accent 3"/>
    <w:basedOn w:val="0000ce"/>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band1Vert">
      <w:tblPr/>
      <w:tcPr>
        <w:shd w:val="clear" w:color="auto" w:fill="E6EED5" w:themeFill="accent3" w:themeFillTint="3F"/>
      </w:tcPr>
    </w:tblStylePr>
    <w:tblStylePr w:type="lastCol">
      <w:rPr>
        <w:b w:val="1"/>
        <w:bCs w:val="1"/>
      </w:rPr>
      <w:tblPr/>
      <w:tcPr>
        <w:tcBorders>
          <w:top w:val="single" w:color="9BBB59" w:themeColor="accent3" w:sz="8" w:space="0"/>
          <w:bottom w:val="single" w:color="9BBB59" w:themeColor="accent3" w:sz="8" w:space="0"/>
        </w:tcBorders>
      </w:tcPr>
    </w:tblStyle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band1Horz">
      <w:tblPr/>
      <w:tcPr>
        <w:shd w:val="clear" w:color="auto" w:fill="E6EED5" w:themeFill="accent3" w:themeFillTint="3F"/>
      </w:tcPr>
    </w:tblStylePr>
    <w:tblStylePr w:type="lastRow">
      <w:rPr>
        <w:b w:val="1"/>
        <w:bCs w:val="1"/>
        <w:color w:val="1F497D" w:themeColor="text2"/>
      </w:rPr>
      <w:tblPr/>
      <w:tcPr>
        <w:tcBorders>
          <w:top w:val="single" w:color="9BBB59" w:themeColor="accent3" w:sz="8" w:space="0"/>
          <w:bottom w:val="single" w:color="9BBB59" w:themeColor="accent3" w:sz="8" w:space="0"/>
        </w:tcBorders>
      </w:tcPr>
    </w:tblStylePr>
    <w:tblStylePr w:type="firstCol">
      <w:rPr>
        <w:b w:val="1"/>
        <w:bCs w:val="1"/>
      </w:rPr>
    </w:tblStylePr>
  </w:style>
  <w:style w:type="character" w:styleId="0000db" w:customStyle="1">
    <w:name w:val="Body Text 3 Char"/>
    <w:basedOn w:val="0000cd"/>
    <w:link w:val="0000da"/>
    <w:uiPriority w:val="99"/>
    <w:rsid w:val="00AA1D8D"/>
    <w:rPr>
      <w:sz w:val="16"/>
      <w:szCs w:val="16"/>
    </w:rPr>
  </w:style>
  <w:style w:type="table" w:styleId="00010e">
    <w:name w:val="Medium Shading 1 Accent 1"/>
    <w:basedOn w:val="0000ce"/>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Col">
      <w:rPr>
        <w:b w:val="1"/>
        <w:bCs w:val="1"/>
      </w:rPr>
    </w:tblStylePr>
    <w:tblStylePr w:type="lastRow">
      <w:pPr>
        <w:spacing w:before="0" w:after="0" w:line="240" w:lineRule="auto"/>
      </w:pPr>
      <w:rPr>
        <w:b w:val="1"/>
        <w:bCs w:val="1"/>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val="1"/>
        <w:bCs w:val="1"/>
      </w:rPr>
    </w:tblStylePr>
    <w:tblStylePr w:type="band1Vert">
      <w:tblPr/>
      <w:tcPr>
        <w:shd w:val="clear" w:color="auto" w:fill="D3DFEE" w:themeFill="accent1" w:themeFillTint="3F"/>
      </w:tcPr>
    </w:tblStylePr>
    <w:tblStylePr w:type="band2Horz">
      <w:tblPr/>
      <w:tcPr>
        <w:tcBorders>
          <w:insideH w:val="nil"/>
          <w:insideV w:val="nil"/>
        </w:tcBorders>
      </w:tcPr>
    </w:tblStylePr>
    <w:tblStylePr w:type="band1Horz">
      <w:tblPr/>
      <w:tcPr>
        <w:tcBorders>
          <w:insideH w:val="nil"/>
          <w:insideV w:val="nil"/>
        </w:tcBorders>
        <w:shd w:val="clear" w:color="auto" w:fill="D3DFEE" w:themeFill="accent1" w:themeFillTint="3F"/>
      </w:tcPr>
    </w:tblStylePr>
  </w:style>
  <w:style w:type="table" w:styleId="000107">
    <w:name w:val="Light Grid Accent 1"/>
    <w:basedOn w:val="0000ce"/>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lastCol">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firstCol">
      <w:rPr>
        <w:rFonts w:asciiTheme="majorHAnsi" w:hAnsiTheme="majorHAnsi" w:eastAsiaTheme="majorEastAsia" w:cstheme="majorBidi"/>
        <w:b w:val="1"/>
        <w:bCs w:val="1"/>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character" w:styleId="0000c2" w:customStyle="1">
    <w:name w:val="Heading 4 Char"/>
    <w:basedOn w:val="0000cd"/>
    <w:link w:val="0000c1"/>
    <w:uiPriority w:val="9"/>
    <w:semiHidden w:val="1"/>
    <w:rsid w:val="00FC693F"/>
    <w:rPr>
      <w:rFonts w:asciiTheme="majorHAnsi" w:hAnsiTheme="majorHAnsi" w:eastAsiaTheme="majorEastAsia" w:cstheme="majorBidi"/>
      <w:b w:val="1"/>
      <w:bCs w:val="1"/>
      <w:i w:val="1"/>
      <w:iCs w:val="1"/>
      <w:color w:val="4F81BD" w:themeColor="accent1"/>
    </w:rPr>
  </w:style>
  <w:style w:type="table" w:styleId="000124">
    <w:name w:val="Medium List 2 Accent 2"/>
    <w:basedOn w:val="0000ce"/>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swCell">
      <w:tblPr/>
      <w:tcPr>
        <w:tcBorders>
          <w:top w:val="nil"/>
        </w:tcBorders>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style>
  <w:style w:type="table" w:styleId="000132">
    <w:name w:val="Medium Grid 2 Accent 2"/>
    <w:basedOn w:val="0000ce"/>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nwCell">
      <w:tblPr/>
      <w:tcPr>
        <w:shd w:val="clear" w:color="auto" w:fill="FFFFFF" w:themeFill="background1"/>
      </w:tcPr>
    </w:tblStylePr>
    <w:tblStylePr w:type="band1Vert">
      <w:tblPr/>
      <w:tcPr>
        <w:shd w:val="clear" w:color="auto" w:fill="DFA7A6" w:themeFill="accent2"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F8EDED" w:themeFill="accent2" w:themeFillTint="19"/>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style>
  <w:style w:type="table" w:styleId="000128">
    <w:name w:val="Medium List 2 Accent 6"/>
    <w:basedOn w:val="0000ce"/>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FDE4D0" w:themeFill="accent6" w:themeFillTint="3F"/>
      </w:tcPr>
    </w:tblStylePr>
    <w:tblStylePr w:type="swCell">
      <w:tblPr/>
      <w:tcPr>
        <w:tcBorders>
          <w:top w:val="nil"/>
        </w:tcBorders>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nwCell">
      <w:tblPr/>
      <w:tcPr>
        <w:shd w:val="clear" w:color="auto" w:fill="FFFFFF" w:themeFill="background1"/>
      </w:tcPr>
    </w:tblStylePr>
  </w:style>
  <w:style w:type="table" w:styleId="000130">
    <w:name w:val="Medium Grid 2"/>
    <w:basedOn w:val="0000ce"/>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nwCell">
      <w:tblPr/>
      <w:tcPr>
        <w:shd w:val="clear" w:color="auto" w:fill="FFFFFF" w:themeFill="background1"/>
      </w:tcPr>
    </w:tblStylePr>
    <w:tblStylePr w:type="firstRow">
      <w:rPr>
        <w:b w:val="1"/>
        <w:bCs w:val="1"/>
        <w:color w:val="000000" w:themeColor="text1"/>
      </w:rPr>
      <w:tblPr/>
      <w:tcPr>
        <w:shd w:val="clear" w:color="auto" w:fill="E6E6E6" w:themeFill="text1" w:themeFillTint="19"/>
      </w:tcPr>
    </w:tblStylePr>
    <w:tblStylePr w:type="band1Vert">
      <w:tblPr/>
      <w:tcPr>
        <w:shd w:val="clear" w:color="auto" w:fill="808080" w:themeFill="text1"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style>
  <w:style w:type="table" w:styleId="000104">
    <w:name w:val="Light List Accent 5"/>
    <w:basedOn w:val="0000ce"/>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val="1"/>
        <w:bCs w:val="1"/>
      </w:rPr>
    </w:tblStylePr>
    <w:tblStylePr w:type="firstRow">
      <w:pPr>
        <w:spacing w:before="0" w:after="0" w:line="240" w:lineRule="auto"/>
      </w:pPr>
      <w:rPr>
        <w:b w:val="1"/>
        <w:bCs w:val="1"/>
        <w:color w:val="FFFFFF" w:themeColor="background1"/>
      </w:rPr>
      <w:tblPr/>
      <w:tcPr>
        <w:shd w:val="clear" w:color="auto" w:fill="4BACC6" w:themeFill="accent5"/>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Col">
      <w:rPr>
        <w:b w:val="1"/>
        <w:bCs w:val="1"/>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000146">
    <w:name w:val="Colorful Shading Accent 1"/>
    <w:basedOn w:val="0000ce"/>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band1Vert">
      <w:tblPr/>
      <w:tcPr>
        <w:shd w:val="clear" w:color="auto" w:fill="B8CCE4" w:themeFill="accent1" w:themeFillTint="66"/>
      </w:tcPr>
    </w:tblStylePr>
    <w:tblStylePr w:type="nwCell">
      <w:rPr>
        <w:color w:val="000000" w:themeColor="text1"/>
      </w:rPr>
    </w:tblStylePr>
    <w:tblStylePr w:type="neCell">
      <w:rPr>
        <w:color w:val="000000" w:themeColor="text1"/>
      </w:rPr>
    </w:tblStylePr>
    <w:tblStylePr w:type="lastRow">
      <w:rPr>
        <w:b w:val="1"/>
        <w:bCs w:val="1"/>
        <w:color w:val="FFFFFF" w:themeColor="background1"/>
      </w:rPr>
      <w:tblPr/>
      <w:tcPr>
        <w:tcBorders>
          <w:top w:val="single" w:color="FFFFFF" w:themeColor="background1" w:sz="6" w:space="0"/>
        </w:tcBorders>
        <w:shd w:val="clear" w:color="auto" w:fill="2C4C74" w:themeFill="accent1" w:themeFillShade="99"/>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band1Horz">
      <w:tblPr/>
      <w:tcPr>
        <w:shd w:val="clear" w:color="auto" w:fill="A7BFDE" w:themeFill="accent1" w:themeFillTint="7F"/>
      </w:tcPr>
    </w:tblStylePr>
  </w:style>
  <w:style w:type="table" w:styleId="000138">
    <w:name w:val="Medium Grid 3 Accent 1"/>
    <w:basedOn w:val="0000ce"/>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style>
  <w:style w:type="table" w:styleId="000121">
    <w:name w:val="Medium List 1 Accent 6"/>
    <w:basedOn w:val="0000ce"/>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lastCol">
      <w:rPr>
        <w:b w:val="1"/>
        <w:bCs w:val="1"/>
      </w:rPr>
      <w:tblPr/>
      <w:tcPr>
        <w:tcBorders>
          <w:top w:val="single" w:color="F79646" w:themeColor="accent6" w:sz="8" w:space="0"/>
          <w:bottom w:val="single" w:color="F79646" w:themeColor="accent6" w:sz="8" w:space="0"/>
        </w:tcBorders>
      </w:tcPr>
    </w:tblStylePr>
    <w:tblStylePr w:type="firstCol">
      <w:rPr>
        <w:b w:val="1"/>
        <w:bCs w:val="1"/>
      </w:rPr>
    </w:tblStylePr>
    <w:tblStylePr w:type="band1Horz">
      <w:tblPr/>
      <w:tcPr>
        <w:shd w:val="clear" w:color="auto" w:fill="FDE4D0" w:themeFill="accent6" w:themeFillTint="3F"/>
      </w:tcPr>
    </w:tblStyle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band1Vert">
      <w:tblPr/>
      <w:tcPr>
        <w:shd w:val="clear" w:color="auto" w:fill="FDE4D0" w:themeFill="accent6" w:themeFillTint="3F"/>
      </w:tcPr>
    </w:tblStylePr>
    <w:tblStylePr w:type="lastRow">
      <w:rPr>
        <w:b w:val="1"/>
        <w:bCs w:val="1"/>
        <w:color w:val="1F497D" w:themeColor="text2"/>
      </w:rPr>
      <w:tblPr/>
      <w:tcPr>
        <w:tcBorders>
          <w:top w:val="single" w:color="F79646" w:themeColor="accent6" w:sz="8" w:space="0"/>
          <w:bottom w:val="single" w:color="F79646" w:themeColor="accent6" w:sz="8" w:space="0"/>
        </w:tcBorders>
      </w:tcPr>
    </w:tblStylePr>
  </w:style>
  <w:style w:type="character" w:styleId="0000d7" w:customStyle="1">
    <w:name w:val="Body Text Char"/>
    <w:basedOn w:val="0000cd"/>
    <w:link w:val="0000d6"/>
    <w:uiPriority w:val="99"/>
    <w:rsid w:val="00AA1D8D"/>
  </w:style>
  <w:style w:type="paragraph" w:styleId="0000d3">
    <w:name w:val="Subtitle"/>
    <w:basedOn w:val="0000ba"/>
    <w:next w:val="0000ba"/>
    <w:link w:val="0000d4"/>
    <w:uiPriority w:val="11"/>
    <w:qFormat w:val="1"/>
    <w:rsid w:val="00FC693F"/>
    <w:pPr>
      <w:numPr>
        <w:ilvl w:val="1"/>
      </w:numPr>
    </w:pPr>
    <w:rPr>
      <w:rFonts w:asciiTheme="majorHAnsi" w:hAnsiTheme="majorHAnsi" w:eastAsiaTheme="majorEastAsia" w:cstheme="majorBidi"/>
      <w:i w:val="1"/>
      <w:iCs w:val="1"/>
      <w:color w:val="4F81BD" w:themeColor="accent1"/>
      <w:spacing w:val="15"/>
      <w:sz w:val="24"/>
      <w:szCs w:val="24"/>
    </w:rPr>
  </w:style>
  <w:style w:type="table" w:styleId="00012c">
    <w:name w:val="Medium Grid 1 Accent 3"/>
    <w:basedOn w:val="0000ce"/>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lastCol">
      <w:rPr>
        <w:b w:val="1"/>
        <w:bCs w:val="1"/>
      </w:rPr>
    </w:tblStylePr>
    <w:tblStylePr w:type="lastRow">
      <w:rPr>
        <w:b w:val="1"/>
        <w:bCs w:val="1"/>
      </w:rPr>
      <w:tblPr/>
      <w:tcPr>
        <w:tcBorders>
          <w:top w:val="single" w:color="B3CC82" w:themeColor="accent3" w:themeTint="BF" w:sz="18" w:space="0"/>
        </w:tcBorders>
      </w:tcPr>
    </w:tblStylePr>
    <w:tblStylePr w:type="firstRow">
      <w:rPr>
        <w:b w:val="1"/>
        <w:bCs w:val="1"/>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tblStylePr w:type="firstCol">
      <w:rPr>
        <w:b w:val="1"/>
        <w:bCs w:val="1"/>
      </w:rPr>
    </w:tblStylePr>
  </w:style>
  <w:style w:type="character" w:styleId="0000f1">
    <w:name w:val="Subtle Emphasis"/>
    <w:basedOn w:val="0000cd"/>
    <w:uiPriority w:val="19"/>
    <w:qFormat w:val="1"/>
    <w:rsid w:val="00FC693F"/>
    <w:rPr>
      <w:i w:val="1"/>
      <w:iCs w:val="1"/>
      <w:color w:val="808080" w:themeColor="text1" w:themeTint="7F"/>
    </w:rPr>
  </w:style>
  <w:style w:type="table" w:styleId="00012f">
    <w:name w:val="Medium Grid 1 Accent 6"/>
    <w:basedOn w:val="0000ce"/>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band1Vert">
      <w:tblPr/>
      <w:tcPr>
        <w:shd w:val="clear" w:color="auto" w:fill="FBCAA2" w:themeFill="accent6" w:themeFillTint="7F"/>
      </w:tcPr>
    </w:tblStylePr>
    <w:tblStylePr w:type="firstRow">
      <w:rPr>
        <w:b w:val="1"/>
        <w:bCs w:val="1"/>
      </w:rPr>
    </w:tblStylePr>
    <w:tblStylePr w:type="firstCol">
      <w:rPr>
        <w:b w:val="1"/>
        <w:bCs w:val="1"/>
      </w:rPr>
    </w:tblStylePr>
    <w:tblStylePr w:type="lastRow">
      <w:rPr>
        <w:b w:val="1"/>
        <w:bCs w:val="1"/>
      </w:rPr>
      <w:tblPr/>
      <w:tcPr>
        <w:tcBorders>
          <w:top w:val="single" w:color="F9B074" w:themeColor="accent6" w:themeTint="BF" w:sz="18" w:space="0"/>
        </w:tcBorders>
      </w:tcPr>
    </w:tblStylePr>
    <w:tblStylePr w:type="lastCol">
      <w:rPr>
        <w:b w:val="1"/>
        <w:bCs w:val="1"/>
      </w:rPr>
    </w:tblStylePr>
    <w:tblStylePr w:type="band1Horz">
      <w:tblPr/>
      <w:tcPr>
        <w:shd w:val="clear" w:color="auto" w:fill="FBCAA2" w:themeFill="accent6" w:themeFillTint="7F"/>
      </w:tcPr>
    </w:tblStylePr>
  </w:style>
  <w:style w:type="table" w:styleId="000141">
    <w:name w:val="Dark List Accent 3"/>
    <w:basedOn w:val="0000ce"/>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style>
  <w:style w:type="paragraph" w:styleId="0000ea">
    <w:name w:val="Quote"/>
    <w:basedOn w:val="0000ba"/>
    <w:next w:val="0000ba"/>
    <w:link w:val="0000eb"/>
    <w:uiPriority w:val="29"/>
    <w:qFormat w:val="1"/>
    <w:rsid w:val="00FC693F"/>
    <w:rPr>
      <w:i w:val="1"/>
      <w:iCs w:val="1"/>
      <w:color w:val="000000" w:themeColor="text1"/>
    </w:rPr>
  </w:style>
  <w:style w:type="paragraph" w:styleId="0000ec">
    <w:name w:val="caption"/>
    <w:basedOn w:val="0000ba"/>
    <w:next w:val="0000ba"/>
    <w:uiPriority w:val="35"/>
    <w:semiHidden w:val="1"/>
    <w:unhideWhenUsed w:val="1"/>
    <w:qFormat w:val="1"/>
    <w:rsid w:val="00FC693F"/>
    <w:pPr>
      <w:spacing w:line="240" w:lineRule="auto"/>
    </w:pPr>
    <w:rPr>
      <w:b w:val="1"/>
      <w:bCs w:val="1"/>
      <w:color w:val="4F81BD" w:themeColor="accent1"/>
      <w:sz w:val="18"/>
      <w:szCs w:val="18"/>
    </w:rPr>
  </w:style>
  <w:style w:type="character" w:styleId="0000cc" w:customStyle="1">
    <w:name w:val="Heading 9 Char"/>
    <w:basedOn w:val="0000cd"/>
    <w:link w:val="0000cb"/>
    <w:uiPriority w:val="9"/>
    <w:semiHidden w:val="1"/>
    <w:rsid w:val="00FC693F"/>
    <w:rPr>
      <w:rFonts w:asciiTheme="majorHAnsi" w:hAnsiTheme="majorHAnsi" w:eastAsiaTheme="majorEastAsia" w:cstheme="majorBidi"/>
      <w:i w:val="1"/>
      <w:iCs w:val="1"/>
      <w:color w:val="404040" w:themeColor="text1" w:themeTint="BF"/>
      <w:sz w:val="20"/>
      <w:szCs w:val="20"/>
    </w:rPr>
  </w:style>
  <w:style w:type="table" w:styleId="000112">
    <w:name w:val="Medium Shading 1 Accent 5"/>
    <w:basedOn w:val="0000ce"/>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tblStylePr w:type="firstCol">
      <w:rPr>
        <w:b w:val="1"/>
        <w:bCs w:val="1"/>
      </w:rPr>
    </w:tblStylePr>
    <w:tblStylePr w:type="lastCol">
      <w:rPr>
        <w:b w:val="1"/>
        <w:bCs w:val="1"/>
      </w:rPr>
    </w:tblStylePr>
    <w:tblStylePr w:type="firstRow">
      <w:pPr>
        <w:spacing w:before="0" w:after="0" w:line="240" w:lineRule="auto"/>
      </w:pPr>
      <w:rPr>
        <w:b w:val="1"/>
        <w:bCs w:val="1"/>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val="1"/>
        <w:bCs w:val="1"/>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style>
</w:styles>
</file>

<file path=word/_rels/document.xml.rels><?xml version="1.0" encoding="UTF-8" standalone="yes"?><Relationships xmlns="http://schemas.openxmlformats.org/package/2006/relationships"><Relationship Id="rId4" Type="http://schemas.openxmlformats.org/officeDocument/2006/relationships/footer" Target="footer1.xml" /><Relationship Id="rId3" Type="http://schemas.openxmlformats.org/officeDocument/2006/relationships/theme" Target="theme/theme1.xml" /><Relationship Id="rId2" Type="http://schemas.openxmlformats.org/officeDocument/2006/relationships/fontTable" Target="fontTable.xml" /><Relationship Id="rId1" Type="http://schemas.openxmlformats.org/officeDocument/2006/relationships/settings" Target="settings.xml" /><Relationship Id="rId0"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dc="http://purl.org/dc/elements/1.1/" xmlns:cp="http://schemas.openxmlformats.org/package/2006/metadata/core-properties">
  <dcterms:created xsi:type="dcterms:W3CDTF">2026-08-28T15:33:19Z</dcterms:created>
  <dcterms:modified xsi:type="dcterms:W3CDTF">2026-08-28T15:33:19Z</dcterms:modified>
</cp:coreProperties>
</file>