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icrosoft YaHei" w:hAnsi="Microsoft YaHei" w:eastAsia="Microsoft YaHei"/>
          <w:b/>
          <w:color w:val="000000"/>
          <w:sz w:val="48"/>
        </w:rPr>
        <w:t>IronBrother 合约安全复审报告</w:t>
      </w:r>
    </w:p>
    <w:p>
      <w:pPr>
        <w:spacing w:after="240"/>
      </w:pPr>
      <w:r>
        <w:rPr>
          <w:rFonts w:ascii="Microsoft YaHei" w:hAnsi="Microsoft YaHei" w:eastAsia="Microsoft YaHei"/>
          <w:color w:val="606060"/>
          <w:sz w:val="26"/>
        </w:rPr>
        <w:t>修复后正向版 / BSC Mainnet 已部署验收</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680"/>
        <w:gridCol w:w="4680"/>
      </w:tblGrid>
      <w:tr>
        <w:tc>
          <w:tcPr>
            <w:tcW w:type="dxa" w:w="2232"/>
            <w:shd w:fill="F2F4F7"/>
            <w:vAlign w:val="center"/>
          </w:tcPr>
          <w:p>
            <w:pPr>
              <w:spacing w:after="0" w:line="259" w:lineRule="auto"/>
            </w:pPr>
            <w:r/>
            <w:r>
              <w:rPr>
                <w:rFonts w:ascii="Microsoft YaHei" w:hAnsi="Microsoft YaHei" w:eastAsia="Microsoft YaHei"/>
                <w:b/>
                <w:sz w:val="18"/>
              </w:rPr>
              <w:t>项目</w:t>
            </w:r>
          </w:p>
        </w:tc>
        <w:tc>
          <w:tcPr>
            <w:tcW w:type="dxa" w:w="7128"/>
            <w:shd w:fill="F2F4F7"/>
            <w:vAlign w:val="center"/>
          </w:tcPr>
          <w:p>
            <w:pPr>
              <w:spacing w:after="0" w:line="259" w:lineRule="auto"/>
            </w:pPr>
            <w:r/>
            <w:r>
              <w:rPr>
                <w:rFonts w:ascii="Microsoft YaHei" w:hAnsi="Microsoft YaHei" w:eastAsia="Microsoft YaHei"/>
                <w:b/>
                <w:sz w:val="18"/>
              </w:rPr>
              <w:t>内容</w:t>
            </w:r>
          </w:p>
        </w:tc>
      </w:tr>
      <w:tr>
        <w:tc>
          <w:tcPr>
            <w:tcW w:type="dxa" w:w="4680"/>
            <w:vAlign w:val="center"/>
          </w:tcPr>
          <w:p>
            <w:pPr>
              <w:spacing w:after="0" w:line="259" w:lineRule="auto"/>
            </w:pPr>
            <w:r/>
            <w:r>
              <w:rPr>
                <w:rFonts w:ascii="Microsoft YaHei" w:hAnsi="Microsoft YaHei" w:eastAsia="Microsoft YaHei"/>
                <w:b w:val="0"/>
                <w:sz w:val="17"/>
              </w:rPr>
              <w:t>报告日期</w:t>
            </w:r>
          </w:p>
        </w:tc>
        <w:tc>
          <w:tcPr>
            <w:tcW w:type="dxa" w:w="4680"/>
            <w:vAlign w:val="center"/>
          </w:tcPr>
          <w:p>
            <w:pPr>
              <w:spacing w:after="0" w:line="259" w:lineRule="auto"/>
            </w:pPr>
            <w:r/>
            <w:r>
              <w:rPr>
                <w:rFonts w:ascii="Microsoft YaHei" w:hAnsi="Microsoft YaHei" w:eastAsia="Microsoft YaHei"/>
                <w:b w:val="0"/>
                <w:sz w:val="17"/>
              </w:rPr>
              <w:t>2026-05-20 / Asia/Shanghai</w:t>
            </w:r>
          </w:p>
        </w:tc>
      </w:tr>
      <w:tr>
        <w:tc>
          <w:tcPr>
            <w:tcW w:type="dxa" w:w="4680"/>
            <w:vAlign w:val="center"/>
          </w:tcPr>
          <w:p>
            <w:pPr>
              <w:spacing w:after="0" w:line="259" w:lineRule="auto"/>
            </w:pPr>
            <w:r/>
            <w:r>
              <w:rPr>
                <w:rFonts w:ascii="Microsoft YaHei" w:hAnsi="Microsoft YaHei" w:eastAsia="Microsoft YaHei"/>
                <w:b w:val="0"/>
                <w:sz w:val="17"/>
              </w:rPr>
              <w:t>审计对象</w:t>
            </w:r>
          </w:p>
        </w:tc>
        <w:tc>
          <w:tcPr>
            <w:tcW w:type="dxa" w:w="4680"/>
            <w:vAlign w:val="center"/>
          </w:tcPr>
          <w:p>
            <w:pPr>
              <w:spacing w:after="0" w:line="259" w:lineRule="auto"/>
            </w:pPr>
            <w:r/>
            <w:r>
              <w:rPr>
                <w:rFonts w:ascii="Microsoft YaHei" w:hAnsi="Microsoft YaHei" w:eastAsia="Microsoft YaHei"/>
                <w:b w:val="0"/>
                <w:sz w:val="17"/>
              </w:rPr>
              <w:t>contracts/IronBrother.sol；BSC Mainnet UUPS Proxy</w:t>
            </w:r>
          </w:p>
        </w:tc>
      </w:tr>
      <w:tr>
        <w:tc>
          <w:tcPr>
            <w:tcW w:type="dxa" w:w="4680"/>
            <w:vAlign w:val="center"/>
          </w:tcPr>
          <w:p>
            <w:pPr>
              <w:spacing w:after="0" w:line="259" w:lineRule="auto"/>
            </w:pPr>
            <w:r/>
            <w:r>
              <w:rPr>
                <w:rFonts w:ascii="Microsoft YaHei" w:hAnsi="Microsoft YaHei" w:eastAsia="Microsoft YaHei"/>
                <w:b w:val="0"/>
                <w:sz w:val="17"/>
              </w:rPr>
              <w:t>主网 Proxy</w:t>
            </w:r>
          </w:p>
        </w:tc>
        <w:tc>
          <w:tcPr>
            <w:tcW w:type="dxa" w:w="4680"/>
            <w:vAlign w:val="center"/>
          </w:tcPr>
          <w:p>
            <w:pPr>
              <w:spacing w:after="0" w:line="259" w:lineRule="auto"/>
            </w:pPr>
            <w:r/>
            <w:r>
              <w:rPr>
                <w:rFonts w:ascii="Microsoft YaHei" w:hAnsi="Microsoft YaHei" w:eastAsia="Microsoft YaHei"/>
                <w:b w:val="0"/>
                <w:sz w:val="17"/>
              </w:rPr>
              <w:t>0x25cCc567C5a72Bb164d0e75969ff6141a7d735E3</w:t>
            </w:r>
          </w:p>
        </w:tc>
      </w:tr>
      <w:tr>
        <w:tc>
          <w:tcPr>
            <w:tcW w:type="dxa" w:w="4680"/>
            <w:vAlign w:val="center"/>
          </w:tcPr>
          <w:p>
            <w:pPr>
              <w:spacing w:after="0" w:line="259" w:lineRule="auto"/>
            </w:pPr>
            <w:r/>
            <w:r>
              <w:rPr>
                <w:rFonts w:ascii="Microsoft YaHei" w:hAnsi="Microsoft YaHei" w:eastAsia="Microsoft YaHei"/>
                <w:b w:val="0"/>
                <w:sz w:val="17"/>
              </w:rPr>
              <w:t>当前 Implementation</w:t>
            </w:r>
          </w:p>
        </w:tc>
        <w:tc>
          <w:tcPr>
            <w:tcW w:type="dxa" w:w="4680"/>
            <w:vAlign w:val="center"/>
          </w:tcPr>
          <w:p>
            <w:pPr>
              <w:spacing w:after="0" w:line="259" w:lineRule="auto"/>
            </w:pPr>
            <w:r/>
            <w:r>
              <w:rPr>
                <w:rFonts w:ascii="Microsoft YaHei" w:hAnsi="Microsoft YaHei" w:eastAsia="Microsoft YaHei"/>
                <w:b w:val="0"/>
                <w:sz w:val="17"/>
              </w:rPr>
              <w:t>0xe6629Ed50d11F921C0717Cb2d9B36C9231e0f7B8</w:t>
            </w:r>
          </w:p>
        </w:tc>
      </w:tr>
      <w:tr>
        <w:tc>
          <w:tcPr>
            <w:tcW w:type="dxa" w:w="4680"/>
            <w:vAlign w:val="center"/>
          </w:tcPr>
          <w:p>
            <w:pPr>
              <w:spacing w:after="0" w:line="259" w:lineRule="auto"/>
            </w:pPr>
            <w:r/>
            <w:r>
              <w:rPr>
                <w:rFonts w:ascii="Microsoft YaHei" w:hAnsi="Microsoft YaHei" w:eastAsia="Microsoft YaHei"/>
                <w:b w:val="0"/>
                <w:sz w:val="17"/>
              </w:rPr>
              <w:t>Proxy 升级交易</w:t>
            </w:r>
          </w:p>
        </w:tc>
        <w:tc>
          <w:tcPr>
            <w:tcW w:type="dxa" w:w="4680"/>
            <w:vAlign w:val="center"/>
          </w:tcPr>
          <w:p>
            <w:pPr>
              <w:spacing w:after="0" w:line="259" w:lineRule="auto"/>
            </w:pPr>
            <w:r/>
            <w:r>
              <w:rPr>
                <w:rFonts w:ascii="Microsoft YaHei" w:hAnsi="Microsoft YaHei" w:eastAsia="Microsoft YaHei"/>
                <w:b w:val="0"/>
                <w:sz w:val="17"/>
              </w:rPr>
              <w:t>0x812da3b1b194ed4cd9ec9322966095b75cffa4baead8792c360c3cacc2445a48</w:t>
            </w:r>
          </w:p>
        </w:tc>
      </w:tr>
      <w:tr>
        <w:tc>
          <w:tcPr>
            <w:tcW w:type="dxa" w:w="4680"/>
            <w:vAlign w:val="center"/>
          </w:tcPr>
          <w:p>
            <w:pPr>
              <w:spacing w:after="0" w:line="259" w:lineRule="auto"/>
            </w:pPr>
            <w:r/>
            <w:r>
              <w:rPr>
                <w:rFonts w:ascii="Microsoft YaHei" w:hAnsi="Microsoft YaHei" w:eastAsia="Microsoft YaHei"/>
                <w:b w:val="0"/>
                <w:sz w:val="17"/>
              </w:rPr>
              <w:t>Implementation 部署交易</w:t>
            </w:r>
          </w:p>
        </w:tc>
        <w:tc>
          <w:tcPr>
            <w:tcW w:type="dxa" w:w="4680"/>
            <w:vAlign w:val="center"/>
          </w:tcPr>
          <w:p>
            <w:pPr>
              <w:spacing w:after="0" w:line="259" w:lineRule="auto"/>
            </w:pPr>
            <w:r/>
            <w:r>
              <w:rPr>
                <w:rFonts w:ascii="Microsoft YaHei" w:hAnsi="Microsoft YaHei" w:eastAsia="Microsoft YaHei"/>
                <w:b w:val="0"/>
                <w:sz w:val="17"/>
              </w:rPr>
              <w:t>0xc5a314f4a8c4625ad270c20f035d71e75b75d7e39fce4a9088bcd726ab2caa00</w:t>
            </w:r>
          </w:p>
        </w:tc>
      </w:tr>
    </w:tbl>
    <w:p>
      <w:pPr>
        <w:spacing w:after="40"/>
      </w:pPr>
    </w:p>
    <w:tbl>
      <w:tblPr>
        <w:tblW w:type="auto" w:w="0"/>
        <w:jc w:val="center"/>
        <w:tblLayout w:type="fixed"/>
        <w:tblLook w:firstColumn="1" w:firstRow="1" w:lastColumn="0" w:lastRow="0" w:noHBand="0" w:noVBand="1" w:val="04A0"/>
        <w:tblBorders>
          <w:top w:val="single" w:sz="5" w:space="0" w:color="C6E0B4"/>
          <w:left w:val="single" w:sz="5" w:space="0" w:color="C6E0B4"/>
          <w:bottom w:val="single" w:sz="5" w:space="0" w:color="C6E0B4"/>
          <w:right w:val="single" w:sz="5" w:space="0" w:color="C6E0B4"/>
          <w:insideH w:val="single" w:sz="5" w:space="0" w:color="C6E0B4"/>
          <w:insideV w:val="single" w:sz="5" w:space="0" w:color="C6E0B4"/>
        </w:tblBorders>
      </w:tblPr>
      <w:tblGrid>
        <w:gridCol w:w="9360"/>
      </w:tblGrid>
      <w:tr>
        <w:tc>
          <w:tcPr>
            <w:tcW w:type="dxa" w:w="9144"/>
            <w:shd w:fill="E2F0D9"/>
          </w:tcPr>
          <w:p>
            <w:pPr>
              <w:spacing w:after="60"/>
            </w:pPr>
            <w:r>
              <w:rPr>
                <w:rFonts w:ascii="Microsoft YaHei" w:hAnsi="Microsoft YaHei" w:eastAsia="Microsoft YaHei"/>
                <w:b/>
                <w:color w:val="006100"/>
                <w:sz w:val="22"/>
              </w:rPr>
              <w:t>复审结论</w:t>
            </w:r>
          </w:p>
          <w:p>
            <w:pPr>
              <w:spacing w:after="0" w:line="269" w:lineRule="auto"/>
            </w:pPr>
            <w:r>
              <w:rPr>
                <w:rFonts w:ascii="Microsoft YaHei" w:hAnsi="Microsoft YaHei" w:eastAsia="Microsoft YaHei"/>
                <w:sz w:val="20"/>
              </w:rPr>
              <w:t>本次复审的两个合约安全问题已完成代码修复、测试验证和 BSC Mainnet 部署：推荐关系成环已被阻断，动态奖励关闭日判断已收敛为仅允许已过去本地日。主网 implementation 已更新，链上运行时代码与本地构建归一化后匹配。</w:t>
            </w:r>
          </w:p>
        </w:tc>
      </w:tr>
    </w:tbl>
    <w:p>
      <w:pPr>
        <w:spacing w:after="40"/>
      </w:pPr>
    </w:p>
    <w:p>
      <w:pPr>
        <w:spacing w:before="280" w:after="120"/>
      </w:pPr>
      <w:r>
        <w:rPr>
          <w:rFonts w:ascii="Microsoft YaHei" w:hAnsi="Microsoft YaHei" w:eastAsia="Microsoft YaHei"/>
          <w:b/>
          <w:color w:val="2E74B5"/>
          <w:sz w:val="32"/>
        </w:rPr>
        <w:t>1. 修复事项确认</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2340"/>
        <w:gridCol w:w="2340"/>
        <w:gridCol w:w="2340"/>
        <w:gridCol w:w="2340"/>
      </w:tblGrid>
      <w:tr>
        <w:tc>
          <w:tcPr>
            <w:tcW w:type="dxa" w:w="792"/>
            <w:shd w:fill="E8EEF5"/>
            <w:vAlign w:val="center"/>
          </w:tcPr>
          <w:p>
            <w:pPr>
              <w:spacing w:after="0" w:line="259" w:lineRule="auto"/>
            </w:pPr>
            <w:r/>
            <w:r>
              <w:rPr>
                <w:rFonts w:ascii="Microsoft YaHei" w:hAnsi="Microsoft YaHei" w:eastAsia="Microsoft YaHei"/>
                <w:b/>
                <w:sz w:val="18"/>
              </w:rPr>
              <w:t>编号</w:t>
            </w:r>
          </w:p>
        </w:tc>
        <w:tc>
          <w:tcPr>
            <w:tcW w:type="dxa" w:w="3024"/>
            <w:shd w:fill="E8EEF5"/>
            <w:vAlign w:val="center"/>
          </w:tcPr>
          <w:p>
            <w:pPr>
              <w:spacing w:after="0" w:line="259" w:lineRule="auto"/>
            </w:pPr>
            <w:r/>
            <w:r>
              <w:rPr>
                <w:rFonts w:ascii="Microsoft YaHei" w:hAnsi="Microsoft YaHei" w:eastAsia="Microsoft YaHei"/>
                <w:b/>
                <w:sz w:val="18"/>
              </w:rPr>
              <w:t>原风险</w:t>
            </w:r>
          </w:p>
        </w:tc>
        <w:tc>
          <w:tcPr>
            <w:tcW w:type="dxa" w:w="1296"/>
            <w:shd w:fill="E8EEF5"/>
            <w:vAlign w:val="center"/>
          </w:tcPr>
          <w:p>
            <w:pPr>
              <w:spacing w:after="0" w:line="259" w:lineRule="auto"/>
            </w:pPr>
            <w:r/>
            <w:r>
              <w:rPr>
                <w:rFonts w:ascii="Microsoft YaHei" w:hAnsi="Microsoft YaHei" w:eastAsia="Microsoft YaHei"/>
                <w:b/>
                <w:sz w:val="18"/>
              </w:rPr>
              <w:t>修复状态</w:t>
            </w:r>
          </w:p>
        </w:tc>
        <w:tc>
          <w:tcPr>
            <w:tcW w:type="dxa" w:w="4248"/>
            <w:shd w:fill="E8EEF5"/>
            <w:vAlign w:val="center"/>
          </w:tcPr>
          <w:p>
            <w:pPr>
              <w:spacing w:after="0" w:line="259" w:lineRule="auto"/>
            </w:pPr>
            <w:r/>
            <w:r>
              <w:rPr>
                <w:rFonts w:ascii="Microsoft YaHei" w:hAnsi="Microsoft YaHei" w:eastAsia="Microsoft YaHei"/>
                <w:b/>
                <w:sz w:val="18"/>
              </w:rPr>
              <w:t>复审结论</w:t>
            </w:r>
          </w:p>
        </w:tc>
      </w:tr>
      <w:tr>
        <w:tc>
          <w:tcPr>
            <w:tcW w:type="dxa" w:w="2340"/>
            <w:vAlign w:val="center"/>
          </w:tcPr>
          <w:p>
            <w:pPr>
              <w:spacing w:after="0" w:line="259" w:lineRule="auto"/>
            </w:pPr>
            <w:r/>
            <w:r>
              <w:rPr>
                <w:rFonts w:ascii="Microsoft YaHei" w:hAnsi="Microsoft YaHei" w:eastAsia="Microsoft YaHei"/>
                <w:b w:val="0"/>
                <w:sz w:val="17"/>
              </w:rPr>
              <w:t>R-01</w:t>
            </w:r>
          </w:p>
        </w:tc>
        <w:tc>
          <w:tcPr>
            <w:tcW w:type="dxa" w:w="2340"/>
            <w:vAlign w:val="center"/>
          </w:tcPr>
          <w:p>
            <w:pPr>
              <w:spacing w:after="0" w:line="259" w:lineRule="auto"/>
            </w:pPr>
            <w:r/>
            <w:r>
              <w:rPr>
                <w:rFonts w:ascii="Microsoft YaHei" w:hAnsi="Microsoft YaHei" w:eastAsia="Microsoft YaHei"/>
                <w:b w:val="0"/>
                <w:sz w:val="17"/>
              </w:rPr>
              <w:t>推荐关系可以形成环，影响动态奖励完整性</w:t>
            </w:r>
          </w:p>
        </w:tc>
        <w:tc>
          <w:tcPr>
            <w:tcW w:type="dxa" w:w="2340"/>
            <w:vAlign w:val="center"/>
          </w:tcPr>
          <w:p>
            <w:pPr>
              <w:spacing w:after="0" w:line="259" w:lineRule="auto"/>
            </w:pPr>
            <w:r/>
            <w:r>
              <w:rPr>
                <w:rFonts w:ascii="Microsoft YaHei" w:hAnsi="Microsoft YaHei" w:eastAsia="Microsoft YaHei"/>
                <w:b w:val="0"/>
                <w:sz w:val="17"/>
              </w:rPr>
              <w:t>已修复</w:t>
            </w:r>
          </w:p>
        </w:tc>
        <w:tc>
          <w:tcPr>
            <w:tcW w:type="dxa" w:w="2340"/>
            <w:vAlign w:val="center"/>
          </w:tcPr>
          <w:p>
            <w:pPr>
              <w:spacing w:after="0" w:line="259" w:lineRule="auto"/>
            </w:pPr>
            <w:r/>
            <w:r>
              <w:rPr>
                <w:rFonts w:ascii="Microsoft YaHei" w:hAnsi="Microsoft YaHei" w:eastAsia="Microsoft YaHei"/>
                <w:b w:val="0"/>
                <w:sz w:val="17"/>
              </w:rPr>
              <w:t>_bindReferrer 绑定前沿上级链检查，发现回到当前用户即 revert `referrer cycle`。</w:t>
            </w:r>
          </w:p>
        </w:tc>
      </w:tr>
      <w:tr>
        <w:tc>
          <w:tcPr>
            <w:tcW w:type="dxa" w:w="2340"/>
            <w:vAlign w:val="center"/>
          </w:tcPr>
          <w:p>
            <w:pPr>
              <w:spacing w:after="0" w:line="259" w:lineRule="auto"/>
            </w:pPr>
            <w:r/>
            <w:r>
              <w:rPr>
                <w:rFonts w:ascii="Microsoft YaHei" w:hAnsi="Microsoft YaHei" w:eastAsia="Microsoft YaHei"/>
                <w:b w:val="0"/>
                <w:sz w:val="17"/>
              </w:rPr>
              <w:t>R-02</w:t>
            </w:r>
          </w:p>
        </w:tc>
        <w:tc>
          <w:tcPr>
            <w:tcW w:type="dxa" w:w="2340"/>
            <w:vAlign w:val="center"/>
          </w:tcPr>
          <w:p>
            <w:pPr>
              <w:spacing w:after="0" w:line="259" w:lineRule="auto"/>
            </w:pPr>
            <w:r/>
            <w:r>
              <w:rPr>
                <w:rFonts w:ascii="Microsoft YaHei" w:hAnsi="Microsoft YaHei" w:eastAsia="Microsoft YaHei"/>
                <w:b w:val="0"/>
                <w:sz w:val="17"/>
              </w:rPr>
              <w:t>动态奖励关闭日判断存在未来日异常分支</w:t>
            </w:r>
          </w:p>
        </w:tc>
        <w:tc>
          <w:tcPr>
            <w:tcW w:type="dxa" w:w="2340"/>
            <w:vAlign w:val="center"/>
          </w:tcPr>
          <w:p>
            <w:pPr>
              <w:spacing w:after="0" w:line="259" w:lineRule="auto"/>
            </w:pPr>
            <w:r/>
            <w:r>
              <w:rPr>
                <w:rFonts w:ascii="Microsoft YaHei" w:hAnsi="Microsoft YaHei" w:eastAsia="Microsoft YaHei"/>
                <w:b w:val="0"/>
                <w:sz w:val="17"/>
              </w:rPr>
              <w:t>已修复</w:t>
            </w:r>
          </w:p>
        </w:tc>
        <w:tc>
          <w:tcPr>
            <w:tcW w:type="dxa" w:w="2340"/>
            <w:vAlign w:val="center"/>
          </w:tcPr>
          <w:p>
            <w:pPr>
              <w:spacing w:after="0" w:line="259" w:lineRule="auto"/>
            </w:pPr>
            <w:r/>
            <w:r>
              <w:rPr>
                <w:rFonts w:ascii="Microsoft YaHei" w:hAnsi="Microsoft YaHei" w:eastAsia="Microsoft YaHei"/>
                <w:b w:val="0"/>
                <w:sz w:val="17"/>
              </w:rPr>
              <w:t>_isDynamicRewardDayClosed 仅返回 `day &lt; currentLocalDay()`，未来 day 不再被视为已关闭。</w:t>
            </w:r>
          </w:p>
        </w:tc>
      </w:tr>
    </w:tbl>
    <w:p>
      <w:pPr>
        <w:spacing w:after="40"/>
      </w:pPr>
    </w:p>
    <w:p>
      <w:pPr>
        <w:spacing w:before="280" w:after="120"/>
      </w:pPr>
      <w:r>
        <w:rPr>
          <w:rFonts w:ascii="Microsoft YaHei" w:hAnsi="Microsoft YaHei" w:eastAsia="Microsoft YaHei"/>
          <w:b/>
          <w:color w:val="2E74B5"/>
          <w:sz w:val="32"/>
        </w:rPr>
        <w:t>2. 主网部署验收</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3120"/>
        <w:gridCol w:w="3120"/>
        <w:gridCol w:w="3120"/>
      </w:tblGrid>
      <w:tr>
        <w:tc>
          <w:tcPr>
            <w:tcW w:type="dxa" w:w="2088"/>
            <w:shd w:fill="E8EEF5"/>
            <w:vAlign w:val="center"/>
          </w:tcPr>
          <w:p>
            <w:pPr>
              <w:spacing w:after="0" w:line="259" w:lineRule="auto"/>
            </w:pPr>
            <w:r/>
            <w:r>
              <w:rPr>
                <w:rFonts w:ascii="Microsoft YaHei" w:hAnsi="Microsoft YaHei" w:eastAsia="Microsoft YaHei"/>
                <w:b/>
                <w:sz w:val="18"/>
              </w:rPr>
              <w:t>检查项</w:t>
            </w:r>
          </w:p>
        </w:tc>
        <w:tc>
          <w:tcPr>
            <w:tcW w:type="dxa" w:w="1152"/>
            <w:shd w:fill="E8EEF5"/>
            <w:vAlign w:val="center"/>
          </w:tcPr>
          <w:p>
            <w:pPr>
              <w:spacing w:after="0" w:line="259" w:lineRule="auto"/>
            </w:pPr>
            <w:r/>
            <w:r>
              <w:rPr>
                <w:rFonts w:ascii="Microsoft YaHei" w:hAnsi="Microsoft YaHei" w:eastAsia="Microsoft YaHei"/>
                <w:b/>
                <w:sz w:val="18"/>
              </w:rPr>
              <w:t>结果</w:t>
            </w:r>
          </w:p>
        </w:tc>
        <w:tc>
          <w:tcPr>
            <w:tcW w:type="dxa" w:w="6120"/>
            <w:shd w:fill="E8EEF5"/>
            <w:vAlign w:val="center"/>
          </w:tcPr>
          <w:p>
            <w:pPr>
              <w:spacing w:after="0" w:line="259" w:lineRule="auto"/>
            </w:pPr>
            <w:r/>
            <w:r>
              <w:rPr>
                <w:rFonts w:ascii="Microsoft YaHei" w:hAnsi="Microsoft YaHei" w:eastAsia="Microsoft YaHei"/>
                <w:b/>
                <w:sz w:val="18"/>
              </w:rPr>
              <w:t>说明</w:t>
            </w:r>
          </w:p>
        </w:tc>
      </w:tr>
      <w:tr>
        <w:tc>
          <w:tcPr>
            <w:tcW w:type="dxa" w:w="3120"/>
            <w:vAlign w:val="center"/>
          </w:tcPr>
          <w:p>
            <w:pPr>
              <w:spacing w:after="0" w:line="259" w:lineRule="auto"/>
            </w:pPr>
            <w:r/>
            <w:r>
              <w:rPr>
                <w:rFonts w:ascii="Microsoft YaHei" w:hAnsi="Microsoft YaHei" w:eastAsia="Microsoft YaHei"/>
                <w:b w:val="0"/>
                <w:sz w:val="17"/>
              </w:rPr>
              <w:t>Proxy implementation</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ERC1967 slot 当前为 0xe6629Ed50d11F921C0717Cb2d9B36C9231e0f7B8。</w:t>
            </w:r>
          </w:p>
        </w:tc>
      </w:tr>
      <w:tr>
        <w:tc>
          <w:tcPr>
            <w:tcW w:type="dxa" w:w="3120"/>
            <w:vAlign w:val="center"/>
          </w:tcPr>
          <w:p>
            <w:pPr>
              <w:spacing w:after="0" w:line="259" w:lineRule="auto"/>
            </w:pPr>
            <w:r/>
            <w:r>
              <w:rPr>
                <w:rFonts w:ascii="Microsoft YaHei" w:hAnsi="Microsoft YaHei" w:eastAsia="Microsoft YaHei"/>
                <w:b w:val="0"/>
                <w:sz w:val="17"/>
              </w:rPr>
              <w:t>字节码一致性</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链上 runtime 与本地 artifact 均为 24,524 bytes；忽略 UUPS immutable self 后哈希一致。</w:t>
            </w:r>
          </w:p>
        </w:tc>
      </w:tr>
      <w:tr>
        <w:tc>
          <w:tcPr>
            <w:tcW w:type="dxa" w:w="3120"/>
            <w:vAlign w:val="center"/>
          </w:tcPr>
          <w:p>
            <w:pPr>
              <w:spacing w:after="0" w:line="259" w:lineRule="auto"/>
            </w:pPr>
            <w:r/>
            <w:r>
              <w:rPr>
                <w:rFonts w:ascii="Microsoft YaHei" w:hAnsi="Microsoft YaHei" w:eastAsia="Microsoft YaHei"/>
                <w:b w:val="0"/>
                <w:sz w:val="17"/>
              </w:rPr>
              <w:t>未来 day 结算</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链上 staticCall 使用 futureDay=21593，futureDayRejectedWithDayNotClosed=true，正确 revert `day not closed`。</w:t>
            </w:r>
          </w:p>
        </w:tc>
      </w:tr>
      <w:tr>
        <w:tc>
          <w:tcPr>
            <w:tcW w:type="dxa" w:w="3120"/>
            <w:vAlign w:val="center"/>
          </w:tcPr>
          <w:p>
            <w:pPr>
              <w:spacing w:after="0" w:line="259" w:lineRule="auto"/>
            </w:pPr>
            <w:r/>
            <w:r>
              <w:rPr>
                <w:rFonts w:ascii="Microsoft YaHei" w:hAnsi="Microsoft YaHei" w:eastAsia="Microsoft YaHei"/>
                <w:b w:val="0"/>
                <w:sz w:val="17"/>
              </w:rPr>
              <w:t>合约专项测试</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npx hardhat test test\IronBrother.test.cjs test\dynamicRewards.test.cjs：25 passing。</w:t>
            </w:r>
          </w:p>
        </w:tc>
      </w:tr>
      <w:tr>
        <w:tc>
          <w:tcPr>
            <w:tcW w:type="dxa" w:w="3120"/>
            <w:vAlign w:val="center"/>
          </w:tcPr>
          <w:p>
            <w:pPr>
              <w:spacing w:after="0" w:line="259" w:lineRule="auto"/>
            </w:pPr>
            <w:r/>
            <w:r>
              <w:rPr>
                <w:rFonts w:ascii="Microsoft YaHei" w:hAnsi="Microsoft YaHei" w:eastAsia="Microsoft YaHei"/>
                <w:b w:val="0"/>
                <w:sz w:val="17"/>
              </w:rPr>
              <w:t>部署记录</w:t>
            </w:r>
          </w:p>
        </w:tc>
        <w:tc>
          <w:tcPr>
            <w:tcW w:type="dxa" w:w="3120"/>
            <w:vAlign w:val="center"/>
          </w:tcPr>
          <w:p>
            <w:pPr>
              <w:spacing w:after="0" w:line="259" w:lineRule="auto"/>
            </w:pPr>
            <w:r/>
            <w:r>
              <w:rPr>
                <w:rFonts w:ascii="Microsoft YaHei" w:hAnsi="Microsoft YaHei" w:eastAsia="Microsoft YaHei"/>
                <w:b w:val="0"/>
                <w:sz w:val="17"/>
              </w:rPr>
              <w:t>通过</w:t>
            </w:r>
          </w:p>
        </w:tc>
        <w:tc>
          <w:tcPr>
            <w:tcW w:type="dxa" w:w="3120"/>
            <w:vAlign w:val="center"/>
          </w:tcPr>
          <w:p>
            <w:pPr>
              <w:spacing w:after="0" w:line="259" w:lineRule="auto"/>
            </w:pPr>
            <w:r/>
            <w:r>
              <w:rPr>
                <w:rFonts w:ascii="Microsoft YaHei" w:hAnsi="Microsoft YaHei" w:eastAsia="Microsoft YaHei"/>
                <w:b w:val="0"/>
                <w:sz w:val="17"/>
              </w:rPr>
              <w:t>deployments/bsc.json 与 .openzeppelin/bsc.json 已同步到新 implementation。</w:t>
            </w:r>
          </w:p>
        </w:tc>
      </w:tr>
    </w:tbl>
    <w:p>
      <w:pPr>
        <w:spacing w:after="40"/>
      </w:pPr>
    </w:p>
    <w:p>
      <w:pPr>
        <w:spacing w:before="280" w:after="120"/>
      </w:pPr>
      <w:r>
        <w:rPr>
          <w:rFonts w:ascii="Microsoft YaHei" w:hAnsi="Microsoft YaHei" w:eastAsia="Microsoft YaHei"/>
          <w:b/>
          <w:color w:val="2E74B5"/>
          <w:sz w:val="32"/>
        </w:rPr>
        <w:t>3. 正向安全判断</w:t>
      </w:r>
    </w:p>
    <w:p>
      <w:pPr>
        <w:pStyle w:val="ListBullet"/>
        <w:spacing w:after="80"/>
      </w:pPr>
      <w:r>
        <w:rPr>
          <w:rFonts w:ascii="Microsoft YaHei" w:hAnsi="Microsoft YaHei" w:eastAsia="Microsoft YaHei"/>
          <w:sz w:val="21"/>
        </w:rPr>
        <w:t>普通用户不能通过推荐关系构造环形上级链来重复放大动态奖励路径。</w:t>
      </w:r>
    </w:p>
    <w:p>
      <w:pPr>
        <w:pStyle w:val="ListBullet"/>
        <w:spacing w:after="80"/>
      </w:pPr>
      <w:r>
        <w:rPr>
          <w:rFonts w:ascii="Microsoft YaHei" w:hAnsi="Microsoft YaHei" w:eastAsia="Microsoft YaHei"/>
          <w:sz w:val="21"/>
        </w:rPr>
        <w:t>动态奖励结算入口不再接受未来 day；`settleDynamicRewardForUser`、批量结算和 Manager bot 路径均受同一关闭日判断约束。</w:t>
      </w:r>
    </w:p>
    <w:p>
      <w:pPr>
        <w:pStyle w:val="ListBullet"/>
        <w:spacing w:after="80"/>
      </w:pPr>
      <w:r>
        <w:rPr>
          <w:rFonts w:ascii="Microsoft YaHei" w:hAnsi="Microsoft YaHei" w:eastAsia="Microsoft YaHei"/>
          <w:sz w:val="21"/>
        </w:rPr>
        <w:t>本次修复没有新增存储变量，保持 UUPS 升级存储布局安全。</w:t>
      </w:r>
    </w:p>
    <w:p>
      <w:pPr>
        <w:pStyle w:val="ListBullet"/>
        <w:spacing w:after="80"/>
      </w:pPr>
      <w:r>
        <w:rPr>
          <w:rFonts w:ascii="Microsoft YaHei" w:hAnsi="Microsoft YaHei" w:eastAsia="Microsoft YaHei"/>
          <w:sz w:val="21"/>
        </w:rPr>
        <w:t>合约运行时代码体积为 24,524 bytes，低于 24,576 bytes 主网限制。</w:t>
      </w:r>
    </w:p>
    <w:p>
      <w:pPr>
        <w:pStyle w:val="ListBullet"/>
        <w:spacing w:after="80"/>
      </w:pPr>
      <w:r>
        <w:rPr>
          <w:rFonts w:ascii="Microsoft YaHei" w:hAnsi="Microsoft YaHei" w:eastAsia="Microsoft YaHei"/>
          <w:sz w:val="21"/>
        </w:rPr>
        <w:t>本次主网升级使用具备 DEFAULT_ADMIN_ROLE 的部署地址完成，升级后 proxy 指向新 implementation。</w:t>
      </w:r>
    </w:p>
    <w:p>
      <w:pPr>
        <w:spacing w:before="280" w:after="120"/>
      </w:pPr>
      <w:r>
        <w:rPr>
          <w:rFonts w:ascii="Microsoft YaHei" w:hAnsi="Microsoft YaHei" w:eastAsia="Microsoft YaHei"/>
          <w:b/>
          <w:color w:val="2E74B5"/>
          <w:sz w:val="32"/>
        </w:rPr>
        <w:t>4. 关键源码证据</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3120"/>
        <w:gridCol w:w="3120"/>
        <w:gridCol w:w="3120"/>
      </w:tblGrid>
      <w:tr>
        <w:tc>
          <w:tcPr>
            <w:tcW w:type="dxa" w:w="2520"/>
            <w:shd w:fill="E8EEF5"/>
            <w:vAlign w:val="center"/>
          </w:tcPr>
          <w:p>
            <w:pPr>
              <w:spacing w:after="0" w:line="259" w:lineRule="auto"/>
            </w:pPr>
            <w:r/>
            <w:r>
              <w:rPr>
                <w:rFonts w:ascii="Microsoft YaHei" w:hAnsi="Microsoft YaHei" w:eastAsia="Microsoft YaHei"/>
                <w:b/>
                <w:sz w:val="18"/>
              </w:rPr>
              <w:t>位置</w:t>
            </w:r>
          </w:p>
        </w:tc>
        <w:tc>
          <w:tcPr>
            <w:tcW w:type="dxa" w:w="3384"/>
            <w:shd w:fill="E8EEF5"/>
            <w:vAlign w:val="center"/>
          </w:tcPr>
          <w:p>
            <w:pPr>
              <w:spacing w:after="0" w:line="259" w:lineRule="auto"/>
            </w:pPr>
            <w:r/>
            <w:r>
              <w:rPr>
                <w:rFonts w:ascii="Microsoft YaHei" w:hAnsi="Microsoft YaHei" w:eastAsia="Microsoft YaHei"/>
                <w:b/>
                <w:sz w:val="18"/>
              </w:rPr>
              <w:t>逻辑</w:t>
            </w:r>
          </w:p>
        </w:tc>
        <w:tc>
          <w:tcPr>
            <w:tcW w:type="dxa" w:w="3456"/>
            <w:shd w:fill="E8EEF5"/>
            <w:vAlign w:val="center"/>
          </w:tcPr>
          <w:p>
            <w:pPr>
              <w:spacing w:after="0" w:line="259" w:lineRule="auto"/>
            </w:pPr>
            <w:r/>
            <w:r>
              <w:rPr>
                <w:rFonts w:ascii="Microsoft YaHei" w:hAnsi="Microsoft YaHei" w:eastAsia="Microsoft YaHei"/>
                <w:b/>
                <w:sz w:val="18"/>
              </w:rPr>
              <w:t>安全意义</w:t>
            </w:r>
          </w:p>
        </w:tc>
      </w:tr>
      <w:tr>
        <w:tc>
          <w:tcPr>
            <w:tcW w:type="dxa" w:w="3120"/>
            <w:vAlign w:val="center"/>
          </w:tcPr>
          <w:p>
            <w:pPr>
              <w:spacing w:after="0" w:line="259" w:lineRule="auto"/>
            </w:pPr>
            <w:r/>
            <w:r>
              <w:rPr>
                <w:rFonts w:ascii="Microsoft YaHei" w:hAnsi="Microsoft YaHei" w:eastAsia="Microsoft YaHei"/>
                <w:b w:val="0"/>
                <w:sz w:val="17"/>
              </w:rPr>
              <w:t>contracts/IronBrother.sol:892</w:t>
            </w:r>
          </w:p>
        </w:tc>
        <w:tc>
          <w:tcPr>
            <w:tcW w:type="dxa" w:w="3120"/>
            <w:vAlign w:val="center"/>
          </w:tcPr>
          <w:p>
            <w:pPr>
              <w:spacing w:after="0" w:line="259" w:lineRule="auto"/>
            </w:pPr>
            <w:r/>
            <w:r>
              <w:rPr>
                <w:rFonts w:ascii="Microsoft YaHei" w:hAnsi="Microsoft YaHei" w:eastAsia="Microsoft YaHei"/>
                <w:b w:val="0"/>
                <w:sz w:val="17"/>
              </w:rPr>
              <w:t>_bindReferrer 中检查 `referrer != user`</w:t>
            </w:r>
          </w:p>
        </w:tc>
        <w:tc>
          <w:tcPr>
            <w:tcW w:type="dxa" w:w="3120"/>
            <w:vAlign w:val="center"/>
          </w:tcPr>
          <w:p>
            <w:pPr>
              <w:spacing w:after="0" w:line="259" w:lineRule="auto"/>
            </w:pPr>
            <w:r/>
            <w:r>
              <w:rPr>
                <w:rFonts w:ascii="Microsoft YaHei" w:hAnsi="Microsoft YaHei" w:eastAsia="Microsoft YaHei"/>
                <w:b w:val="0"/>
                <w:sz w:val="17"/>
              </w:rPr>
              <w:t>保留直接自推荐阻断。</w:t>
            </w:r>
          </w:p>
        </w:tc>
      </w:tr>
      <w:tr>
        <w:tc>
          <w:tcPr>
            <w:tcW w:type="dxa" w:w="3120"/>
            <w:vAlign w:val="center"/>
          </w:tcPr>
          <w:p>
            <w:pPr>
              <w:spacing w:after="0" w:line="259" w:lineRule="auto"/>
            </w:pPr>
            <w:r/>
            <w:r>
              <w:rPr>
                <w:rFonts w:ascii="Microsoft YaHei" w:hAnsi="Microsoft YaHei" w:eastAsia="Microsoft YaHei"/>
                <w:b w:val="0"/>
                <w:sz w:val="17"/>
              </w:rPr>
              <w:t>contracts/IronBrother.sol:894</w:t>
            </w:r>
          </w:p>
        </w:tc>
        <w:tc>
          <w:tcPr>
            <w:tcW w:type="dxa" w:w="3120"/>
            <w:vAlign w:val="center"/>
          </w:tcPr>
          <w:p>
            <w:pPr>
              <w:spacing w:after="0" w:line="259" w:lineRule="auto"/>
            </w:pPr>
            <w:r/>
            <w:r>
              <w:rPr>
                <w:rFonts w:ascii="Microsoft YaHei" w:hAnsi="Microsoft YaHei" w:eastAsia="Microsoft YaHei"/>
                <w:b w:val="0"/>
                <w:sz w:val="17"/>
              </w:rPr>
              <w:t>沿 `users[referrer].referrer` 向上遍历</w:t>
            </w:r>
          </w:p>
        </w:tc>
        <w:tc>
          <w:tcPr>
            <w:tcW w:type="dxa" w:w="3120"/>
            <w:vAlign w:val="center"/>
          </w:tcPr>
          <w:p>
            <w:pPr>
              <w:spacing w:after="0" w:line="259" w:lineRule="auto"/>
            </w:pPr>
            <w:r/>
            <w:r>
              <w:rPr>
                <w:rFonts w:ascii="Microsoft YaHei" w:hAnsi="Microsoft YaHei" w:eastAsia="Microsoft YaHei"/>
                <w:b w:val="0"/>
                <w:sz w:val="17"/>
              </w:rPr>
              <w:t>阻止间接推荐环。</w:t>
            </w:r>
          </w:p>
        </w:tc>
      </w:tr>
      <w:tr>
        <w:tc>
          <w:tcPr>
            <w:tcW w:type="dxa" w:w="3120"/>
            <w:vAlign w:val="center"/>
          </w:tcPr>
          <w:p>
            <w:pPr>
              <w:spacing w:after="0" w:line="259" w:lineRule="auto"/>
            </w:pPr>
            <w:r/>
            <w:r>
              <w:rPr>
                <w:rFonts w:ascii="Microsoft YaHei" w:hAnsi="Microsoft YaHei" w:eastAsia="Microsoft YaHei"/>
                <w:b w:val="0"/>
                <w:sz w:val="17"/>
              </w:rPr>
              <w:t>contracts/IronBrother.sol:895</w:t>
            </w:r>
          </w:p>
        </w:tc>
        <w:tc>
          <w:tcPr>
            <w:tcW w:type="dxa" w:w="3120"/>
            <w:vAlign w:val="center"/>
          </w:tcPr>
          <w:p>
            <w:pPr>
              <w:spacing w:after="0" w:line="259" w:lineRule="auto"/>
            </w:pPr>
            <w:r/>
            <w:r>
              <w:rPr>
                <w:rFonts w:ascii="Microsoft YaHei" w:hAnsi="Microsoft YaHei" w:eastAsia="Microsoft YaHei"/>
                <w:b w:val="0"/>
                <w:sz w:val="17"/>
              </w:rPr>
              <w:t>发现 `cursor == user` 即 revert `referrer cycle`</w:t>
            </w:r>
          </w:p>
        </w:tc>
        <w:tc>
          <w:tcPr>
            <w:tcW w:type="dxa" w:w="3120"/>
            <w:vAlign w:val="center"/>
          </w:tcPr>
          <w:p>
            <w:pPr>
              <w:spacing w:after="0" w:line="259" w:lineRule="auto"/>
            </w:pPr>
            <w:r/>
            <w:r>
              <w:rPr>
                <w:rFonts w:ascii="Microsoft YaHei" w:hAnsi="Microsoft YaHei" w:eastAsia="Microsoft YaHei"/>
                <w:b w:val="0"/>
                <w:sz w:val="17"/>
              </w:rPr>
              <w:t>防止 A-&gt;B-&gt;...-&gt;A。</w:t>
            </w:r>
          </w:p>
        </w:tc>
      </w:tr>
      <w:tr>
        <w:tc>
          <w:tcPr>
            <w:tcW w:type="dxa" w:w="3120"/>
            <w:vAlign w:val="center"/>
          </w:tcPr>
          <w:p>
            <w:pPr>
              <w:spacing w:after="0" w:line="259" w:lineRule="auto"/>
            </w:pPr>
            <w:r/>
            <w:r>
              <w:rPr>
                <w:rFonts w:ascii="Microsoft YaHei" w:hAnsi="Microsoft YaHei" w:eastAsia="Microsoft YaHei"/>
                <w:b w:val="0"/>
                <w:sz w:val="17"/>
              </w:rPr>
              <w:t>contracts/IronBrother.sol:979</w:t>
            </w:r>
          </w:p>
        </w:tc>
        <w:tc>
          <w:tcPr>
            <w:tcW w:type="dxa" w:w="3120"/>
            <w:vAlign w:val="center"/>
          </w:tcPr>
          <w:p>
            <w:pPr>
              <w:spacing w:after="0" w:line="259" w:lineRule="auto"/>
            </w:pPr>
            <w:r/>
            <w:r>
              <w:rPr>
                <w:rFonts w:ascii="Microsoft YaHei" w:hAnsi="Microsoft YaHei" w:eastAsia="Microsoft YaHei"/>
                <w:b w:val="0"/>
                <w:sz w:val="17"/>
              </w:rPr>
              <w:t>_isDynamicRewardDayClosed(day)</w:t>
            </w:r>
          </w:p>
        </w:tc>
        <w:tc>
          <w:tcPr>
            <w:tcW w:type="dxa" w:w="3120"/>
            <w:vAlign w:val="center"/>
          </w:tcPr>
          <w:p>
            <w:pPr>
              <w:spacing w:after="0" w:line="259" w:lineRule="auto"/>
            </w:pPr>
            <w:r/>
            <w:r>
              <w:rPr>
                <w:rFonts w:ascii="Microsoft YaHei" w:hAnsi="Microsoft YaHei" w:eastAsia="Microsoft YaHei"/>
                <w:b w:val="0"/>
                <w:sz w:val="17"/>
              </w:rPr>
              <w:t>统一动态奖励关闭日判断。</w:t>
            </w:r>
          </w:p>
        </w:tc>
      </w:tr>
      <w:tr>
        <w:tc>
          <w:tcPr>
            <w:tcW w:type="dxa" w:w="3120"/>
            <w:vAlign w:val="center"/>
          </w:tcPr>
          <w:p>
            <w:pPr>
              <w:spacing w:after="0" w:line="259" w:lineRule="auto"/>
            </w:pPr>
            <w:r/>
            <w:r>
              <w:rPr>
                <w:rFonts w:ascii="Microsoft YaHei" w:hAnsi="Microsoft YaHei" w:eastAsia="Microsoft YaHei"/>
                <w:b w:val="0"/>
                <w:sz w:val="17"/>
              </w:rPr>
              <w:t>contracts/IronBrother.sol:981</w:t>
            </w:r>
          </w:p>
        </w:tc>
        <w:tc>
          <w:tcPr>
            <w:tcW w:type="dxa" w:w="3120"/>
            <w:vAlign w:val="center"/>
          </w:tcPr>
          <w:p>
            <w:pPr>
              <w:spacing w:after="0" w:line="259" w:lineRule="auto"/>
            </w:pPr>
            <w:r/>
            <w:r>
              <w:rPr>
                <w:rFonts w:ascii="Microsoft YaHei" w:hAnsi="Microsoft YaHei" w:eastAsia="Microsoft YaHei"/>
                <w:b w:val="0"/>
                <w:sz w:val="17"/>
              </w:rPr>
              <w:t>返回 `day &lt; currentDay`</w:t>
            </w:r>
          </w:p>
        </w:tc>
        <w:tc>
          <w:tcPr>
            <w:tcW w:type="dxa" w:w="3120"/>
            <w:vAlign w:val="center"/>
          </w:tcPr>
          <w:p>
            <w:pPr>
              <w:spacing w:after="0" w:line="259" w:lineRule="auto"/>
            </w:pPr>
            <w:r/>
            <w:r>
              <w:rPr>
                <w:rFonts w:ascii="Microsoft YaHei" w:hAnsi="Microsoft YaHei" w:eastAsia="Microsoft YaHei"/>
                <w:b w:val="0"/>
                <w:sz w:val="17"/>
              </w:rPr>
              <w:t>只允许已过去本地日结算。</w:t>
            </w:r>
          </w:p>
        </w:tc>
      </w:tr>
    </w:tbl>
    <w:p>
      <w:pPr>
        <w:spacing w:after="40"/>
      </w:pPr>
    </w:p>
    <w:p>
      <w:pPr>
        <w:spacing w:before="280" w:after="120"/>
      </w:pPr>
      <w:r>
        <w:rPr>
          <w:rFonts w:ascii="Microsoft YaHei" w:hAnsi="Microsoft YaHei" w:eastAsia="Microsoft YaHei"/>
          <w:b/>
          <w:color w:val="2E74B5"/>
          <w:sz w:val="32"/>
        </w:rPr>
        <w:t>5. 验证命令</w:t>
      </w:r>
    </w:p>
    <w:tbl>
      <w:tblPr>
        <w:tblW w:type="auto" w:w="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680"/>
        <w:gridCol w:w="4680"/>
      </w:tblGrid>
      <w:tr>
        <w:tc>
          <w:tcPr>
            <w:tcW w:type="dxa" w:w="4464"/>
            <w:shd w:fill="F2F4F7"/>
            <w:vAlign w:val="center"/>
          </w:tcPr>
          <w:p>
            <w:pPr>
              <w:spacing w:after="0" w:line="259" w:lineRule="auto"/>
            </w:pPr>
            <w:r/>
            <w:r>
              <w:rPr>
                <w:rFonts w:ascii="Microsoft YaHei" w:hAnsi="Microsoft YaHei" w:eastAsia="Microsoft YaHei"/>
                <w:b/>
                <w:sz w:val="18"/>
              </w:rPr>
              <w:t>命令 / 检查</w:t>
            </w:r>
          </w:p>
        </w:tc>
        <w:tc>
          <w:tcPr>
            <w:tcW w:type="dxa" w:w="4896"/>
            <w:shd w:fill="F2F4F7"/>
            <w:vAlign w:val="center"/>
          </w:tcPr>
          <w:p>
            <w:pPr>
              <w:spacing w:after="0" w:line="259" w:lineRule="auto"/>
            </w:pPr>
            <w:r/>
            <w:r>
              <w:rPr>
                <w:rFonts w:ascii="Microsoft YaHei" w:hAnsi="Microsoft YaHei" w:eastAsia="Microsoft YaHei"/>
                <w:b/>
                <w:sz w:val="18"/>
              </w:rPr>
              <w:t>结果</w:t>
            </w:r>
          </w:p>
        </w:tc>
      </w:tr>
      <w:tr>
        <w:tc>
          <w:tcPr>
            <w:tcW w:type="dxa" w:w="4680"/>
            <w:vAlign w:val="center"/>
          </w:tcPr>
          <w:p>
            <w:pPr>
              <w:spacing w:after="0" w:line="259" w:lineRule="auto"/>
            </w:pPr>
            <w:r/>
            <w:r>
              <w:rPr>
                <w:rFonts w:ascii="Microsoft YaHei" w:hAnsi="Microsoft YaHei" w:eastAsia="Microsoft YaHei"/>
                <w:b w:val="0"/>
                <w:sz w:val="17"/>
              </w:rPr>
              <w:t>npx hardhat compile</w:t>
            </w:r>
          </w:p>
        </w:tc>
        <w:tc>
          <w:tcPr>
            <w:tcW w:type="dxa" w:w="4680"/>
            <w:vAlign w:val="center"/>
          </w:tcPr>
          <w:p>
            <w:pPr>
              <w:spacing w:after="0" w:line="259" w:lineRule="auto"/>
            </w:pPr>
            <w:r/>
            <w:r>
              <w:rPr>
                <w:rFonts w:ascii="Microsoft YaHei" w:hAnsi="Microsoft YaHei" w:eastAsia="Microsoft YaHei"/>
                <w:b w:val="0"/>
                <w:sz w:val="17"/>
              </w:rPr>
              <w:t>通过，无代码体积超限警告。</w:t>
            </w:r>
          </w:p>
        </w:tc>
      </w:tr>
      <w:tr>
        <w:tc>
          <w:tcPr>
            <w:tcW w:type="dxa" w:w="4680"/>
            <w:vAlign w:val="center"/>
          </w:tcPr>
          <w:p>
            <w:pPr>
              <w:spacing w:after="0" w:line="259" w:lineRule="auto"/>
            </w:pPr>
            <w:r/>
            <w:r>
              <w:rPr>
                <w:rFonts w:ascii="Microsoft YaHei" w:hAnsi="Microsoft YaHei" w:eastAsia="Microsoft YaHei"/>
                <w:b w:val="0"/>
                <w:sz w:val="17"/>
              </w:rPr>
              <w:t>npx hardhat test test\IronBrother.test.cjs test\dynamicRewards.test.cjs</w:t>
            </w:r>
          </w:p>
        </w:tc>
        <w:tc>
          <w:tcPr>
            <w:tcW w:type="dxa" w:w="4680"/>
            <w:vAlign w:val="center"/>
          </w:tcPr>
          <w:p>
            <w:pPr>
              <w:spacing w:after="0" w:line="259" w:lineRule="auto"/>
            </w:pPr>
            <w:r/>
            <w:r>
              <w:rPr>
                <w:rFonts w:ascii="Microsoft YaHei" w:hAnsi="Microsoft YaHei" w:eastAsia="Microsoft YaHei"/>
                <w:b w:val="0"/>
                <w:sz w:val="17"/>
              </w:rPr>
              <w:t>通过，25 passing。</w:t>
            </w:r>
          </w:p>
        </w:tc>
      </w:tr>
      <w:tr>
        <w:tc>
          <w:tcPr>
            <w:tcW w:type="dxa" w:w="4680"/>
            <w:vAlign w:val="center"/>
          </w:tcPr>
          <w:p>
            <w:pPr>
              <w:spacing w:after="0" w:line="259" w:lineRule="auto"/>
            </w:pPr>
            <w:r/>
            <w:r>
              <w:rPr>
                <w:rFonts w:ascii="Microsoft YaHei" w:hAnsi="Microsoft YaHei" w:eastAsia="Microsoft YaHei"/>
                <w:b w:val="0"/>
                <w:sz w:val="17"/>
              </w:rPr>
              <w:t>链上 implementation slot 读取</w:t>
            </w:r>
          </w:p>
        </w:tc>
        <w:tc>
          <w:tcPr>
            <w:tcW w:type="dxa" w:w="4680"/>
            <w:vAlign w:val="center"/>
          </w:tcPr>
          <w:p>
            <w:pPr>
              <w:spacing w:after="0" w:line="259" w:lineRule="auto"/>
            </w:pPr>
            <w:r/>
            <w:r>
              <w:rPr>
                <w:rFonts w:ascii="Microsoft YaHei" w:hAnsi="Microsoft YaHei" w:eastAsia="Microsoft YaHei"/>
                <w:b w:val="0"/>
                <w:sz w:val="17"/>
              </w:rPr>
              <w:t>通过，当前 implementation 为 0xe6629Ed50d11F921C0717Cb2d9B36C9231e0f7B8。</w:t>
            </w:r>
          </w:p>
        </w:tc>
      </w:tr>
      <w:tr>
        <w:tc>
          <w:tcPr>
            <w:tcW w:type="dxa" w:w="4680"/>
            <w:vAlign w:val="center"/>
          </w:tcPr>
          <w:p>
            <w:pPr>
              <w:spacing w:after="0" w:line="259" w:lineRule="auto"/>
            </w:pPr>
            <w:r/>
            <w:r>
              <w:rPr>
                <w:rFonts w:ascii="Microsoft YaHei" w:hAnsi="Microsoft YaHei" w:eastAsia="Microsoft YaHei"/>
                <w:b w:val="0"/>
                <w:sz w:val="17"/>
              </w:rPr>
              <w:t>链上 future day staticCall</w:t>
            </w:r>
          </w:p>
        </w:tc>
        <w:tc>
          <w:tcPr>
            <w:tcW w:type="dxa" w:w="4680"/>
            <w:vAlign w:val="center"/>
          </w:tcPr>
          <w:p>
            <w:pPr>
              <w:spacing w:after="0" w:line="259" w:lineRule="auto"/>
            </w:pPr>
            <w:r/>
            <w:r>
              <w:rPr>
                <w:rFonts w:ascii="Microsoft YaHei" w:hAnsi="Microsoft YaHei" w:eastAsia="Microsoft YaHei"/>
                <w:b w:val="0"/>
                <w:sz w:val="17"/>
              </w:rPr>
              <w:t>通过，futureDayRejectedWithDayNotClosed=true，正确 revert `day not closed`。</w:t>
            </w:r>
          </w:p>
        </w:tc>
      </w:tr>
    </w:tbl>
    <w:p>
      <w:pPr>
        <w:spacing w:after="40"/>
      </w:pPr>
    </w:p>
    <w:p>
      <w:pPr>
        <w:spacing w:before="280" w:after="120"/>
      </w:pPr>
      <w:r>
        <w:rPr>
          <w:rFonts w:ascii="Microsoft YaHei" w:hAnsi="Microsoft YaHei" w:eastAsia="Microsoft YaHei"/>
          <w:b/>
          <w:color w:val="2E74B5"/>
          <w:sz w:val="32"/>
        </w:rPr>
        <w:t>6. 运行建议</w:t>
      </w:r>
    </w:p>
    <w:p>
      <w:pPr>
        <w:spacing w:after="120" w:line="269" w:lineRule="auto"/>
      </w:pPr>
      <w:r>
        <w:rPr>
          <w:rFonts w:ascii="Microsoft YaHei" w:hAnsi="Microsoft YaHei" w:eastAsia="Microsoft YaHei"/>
          <w:sz w:val="21"/>
        </w:rPr>
        <w:t>本次复审结论为正向通过。后续仍建议将高权限操作纳入多签或时间锁，并持续监控奖励池余额、提现状态和动态奖励结算任务执行情况。这些属于运营治理建议，不影响本次两个合约逻辑问题的修复结论。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06060"/>
        <w:sz w:val="17"/>
      </w:rPr>
      <w:t>BSC Mainnet Contract Review - 2026-05-20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06060"/>
        <w:sz w:val="18"/>
      </w:rPr>
      <w:t>IronBrother 合约复审报告 | 修复后正向版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