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DFCED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技术需求基准文档。</w:t>
      </w:r>
    </w:p>
    <w:p w14:paraId="528BF32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《金宝 RWA · DeFi4.0》</w:t>
      </w:r>
    </w:p>
    <w:p w14:paraId="68ADF33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双币燃烧增长系统</w:t>
      </w:r>
    </w:p>
    <w:p w14:paraId="1806417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智能合约开发需求文档（完整文字版）</w:t>
      </w:r>
    </w:p>
    <w:p w14:paraId="093723F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一、项目概述</w:t>
      </w:r>
    </w:p>
    <w:p w14:paraId="4544D4C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本项目为基于区块链的 DeFi 双币收益系统，系统以 MC 作为主结算代币（币本位），以 JBC 作为价值锚定与燃烧代币（金本位），通过门票机制、流动性提供、动静态收益分配、强制销毁及出局机制，实现一个可长期运行、规则不可篡改、链上完全可审计的收益系统。</w:t>
      </w:r>
    </w:p>
    <w:p w14:paraId="5F45482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系统全部核心逻辑由智能合约自动执行，部署完成后不允许人工干预，收益、比例、周期等关键参数权限。</w:t>
      </w:r>
    </w:p>
    <w:p w14:paraId="42E08DB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二、系统核心代币定义</w:t>
      </w:r>
    </w:p>
    <w:p w14:paraId="4644BDA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2.1 MC 代币定义</w:t>
      </w:r>
    </w:p>
    <w:p w14:paraId="75C8D89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MC 为系统的主流通与结算代币，用于以下场景：</w:t>
      </w:r>
    </w:p>
    <w:p w14:paraId="696A488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门票购买</w:t>
      </w:r>
    </w:p>
    <w:p w14:paraId="4A62C6A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流动性提供</w:t>
      </w:r>
    </w:p>
    <w:p w14:paraId="4D98793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静态收益结算（50%使用MC+50%使用JBC）</w:t>
      </w:r>
    </w:p>
    <w:p w14:paraId="2CDB58C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动态收益结算（100%使用MC）</w:t>
      </w:r>
    </w:p>
    <w:p w14:paraId="775E028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赎回金支付使用MC</w:t>
      </w:r>
    </w:p>
    <w:p w14:paraId="36CEB3B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MC 为MC链原生代币不可增发，不可冻结用户资产！</w:t>
      </w:r>
    </w:p>
    <w:p w14:paraId="73EFBC1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2.2 JBC 代币定义</w:t>
      </w:r>
    </w:p>
    <w:p w14:paraId="43F31DE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JBC 为系统的价值锚定代币初始价格1USD，主要承担以下职能：</w:t>
      </w:r>
    </w:p>
    <w:p w14:paraId="304C389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与 MC 组成 AMM 交易对</w:t>
      </w:r>
    </w:p>
    <w:p w14:paraId="45CE783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回购与持续销毁</w:t>
      </w:r>
    </w:p>
    <w:p w14:paraId="3DAAC30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静态收益结算（50%使用JBC）</w:t>
      </w:r>
    </w:p>
    <w:p w14:paraId="4CBE4B7F">
      <w:pPr>
        <w:pStyle w:val="2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31F159D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金本位价值承载</w:t>
      </w:r>
    </w:p>
    <w:p w14:paraId="15662E2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JBC 总发行量固定为 100,000,000 枚，部署后不可增发。</w:t>
      </w:r>
    </w:p>
    <w:p w14:paraId="364323B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三、JBC 发行与流动性规则</w:t>
      </w:r>
    </w:p>
    <w:p w14:paraId="639ECD0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系统初始创建 JBC 后，按以下方式分配：</w:t>
      </w:r>
    </w:p>
    <w:p w14:paraId="020BC06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5,000,000 JBC 用于初始 AMM 流动性，与对应数量5,000,000 MC 注入交易池，AMM初始化1JBC=1MC。</w:t>
      </w:r>
    </w:p>
    <w:p w14:paraId="5DFDB04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LP 权限在注入后立即丢弃，任何地址不得再增减该 LP</w:t>
      </w:r>
    </w:p>
    <w:p w14:paraId="6B6168F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剩余 95,000,000 JBC 由系统合约托管，用于后续规则释放或回购，不允许提前释放或私自转移</w:t>
      </w:r>
    </w:p>
    <w:p w14:paraId="4DDC37B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四、JBC 交易滑点与销毁规则</w:t>
      </w:r>
    </w:p>
    <w:p w14:paraId="23580FA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4.1 买入 JBC 销毁逻辑</w:t>
      </w:r>
    </w:p>
    <w:p w14:paraId="5156D60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当用户使用 MC通过 AMM 兑换 JBC 时，系统需执行以下逻辑：</w:t>
      </w:r>
    </w:p>
    <w:p w14:paraId="337F427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100%MC注入AMM LP底池，兑换出来的50%JBC到用户的钱包，50% JBC直接转入黑洞地址销毁。</w:t>
      </w:r>
    </w:p>
    <w:p w14:paraId="6FA4015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4.2 卖出 JBC 销毁逻辑</w:t>
      </w:r>
    </w:p>
    <w:p w14:paraId="22CABEE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当用户使用 JBC 通过 AMM 兑换MC时，系统需执行以下逻辑：</w:t>
      </w:r>
    </w:p>
    <w:p w14:paraId="196BEA7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25% JBC 直接转入黑洞地址销毁， 75% JBC进入AMM LP底池兑换出的MC到用户的钱包。</w:t>
      </w:r>
    </w:p>
    <w:p w14:paraId="1088694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4.3 AMM LP底池每日自动销毁机制</w:t>
      </w:r>
    </w:p>
    <w:p w14:paraId="050C5A7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系统需实现定时销毁逻辑：</w:t>
      </w:r>
    </w:p>
    <w:p w14:paraId="383A016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每日 00:00（UTC 时间），对 AMM 底池中 JBC 总量的 1% 执行自动销毁（转出至黑洞地址）</w:t>
      </w:r>
    </w:p>
    <w:p w14:paraId="280B3AC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五、门票系统设计</w:t>
      </w:r>
    </w:p>
    <w:p w14:paraId="0BC8CD6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5.1 门票类型</w:t>
      </w:r>
    </w:p>
    <w:p w14:paraId="16C68C61">
      <w:pPr>
        <w:pStyle w:val="2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324AC1C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系统内固定四种门票可多门票购买，累计增加出局额度：</w:t>
      </w:r>
    </w:p>
    <w:p w14:paraId="62F5216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T1：100 MC 门票，对应 150 MC 流动性</w:t>
      </w:r>
    </w:p>
    <w:p w14:paraId="2D3FD21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T2：300 MC 门票，对应 450 MC 流动性</w:t>
      </w:r>
    </w:p>
    <w:p w14:paraId="66DC9A7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T3：500 MC 门票，对应 750 MC 流动性</w:t>
      </w:r>
    </w:p>
    <w:p w14:paraId="5933D9D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T4：1000 MC 门票，对应 1500 MC 流动性</w:t>
      </w:r>
    </w:p>
    <w:p w14:paraId="10954BB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5.2 门票购买流程</w:t>
      </w:r>
    </w:p>
    <w:p w14:paraId="1517EA5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用户向门票合约转入对应 MC 后：</w:t>
      </w:r>
    </w:p>
    <w:p w14:paraId="604C74A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1. 系统创建门票记录</w:t>
      </w:r>
    </w:p>
    <w:p w14:paraId="13A4A94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2. 自动进行门票资金分配</w:t>
      </w:r>
    </w:p>
    <w:p w14:paraId="0EB5FC0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3. 门票状态设为“待提供流动性”</w:t>
      </w:r>
    </w:p>
    <w:p w14:paraId="4B2D671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4. 用户需在 72 小时内 完成流动性提供</w:t>
      </w:r>
    </w:p>
    <w:p w14:paraId="43F80A0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若超时未完成，门票自动作废，且不产生任何收益。</w:t>
      </w:r>
    </w:p>
    <w:p w14:paraId="3987229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六、门票资金分配规则</w:t>
      </w:r>
    </w:p>
    <w:p w14:paraId="082429D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每一笔门票 MC 资金，系统需严格按以下比例分配，总和必须等于 100%：</w:t>
      </w:r>
    </w:p>
    <w:p w14:paraId="38F9618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25%：直推奖励（秒结，MC，直达钱包）</w:t>
      </w:r>
    </w:p>
    <w:p w14:paraId="46FBC60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15%：层级 / 极差奖励（秒结，MC）</w:t>
      </w:r>
    </w:p>
    <w:p w14:paraId="1F66EAC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5%：市场基金（项目方指定地址）</w:t>
      </w:r>
    </w:p>
    <w:p w14:paraId="7EE68D8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5%：即时市价回购 JBC（用于销毁或池内）</w:t>
      </w:r>
    </w:p>
    <w:p w14:paraId="69418CF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25%：底池缓冲资金</w:t>
      </w:r>
    </w:p>
    <w:p w14:paraId="432B0C9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25%：国库托底资金</w:t>
      </w:r>
    </w:p>
    <w:p w14:paraId="7805117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6.1 底池缓冲资金处理逻辑</w:t>
      </w:r>
    </w:p>
    <w:p w14:paraId="6F14D5B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底池缓冲的 25% MC 不允许直接进入 AMM，必须：</w:t>
      </w:r>
    </w:p>
    <w:p w14:paraId="7946AF1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进入独立缓冲合约</w:t>
      </w:r>
    </w:p>
    <w:p w14:paraId="36F25BA4">
      <w:pPr>
        <w:pStyle w:val="2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4F2169F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按时间加权（TWAP）方式</w:t>
      </w:r>
    </w:p>
    <w:p w14:paraId="773677D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分批买入 JBC</w:t>
      </w:r>
    </w:p>
    <w:p w14:paraId="48F00D1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再逐步注入 AMM</w:t>
      </w:r>
    </w:p>
    <w:p w14:paraId="56209B1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目的是避免短时间拉盘和价格异常。</w:t>
      </w:r>
    </w:p>
    <w:p w14:paraId="2759D6E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七、流动性与静态收益机制</w:t>
      </w:r>
    </w:p>
    <w:p w14:paraId="44B56B8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7.1 流动性提供规则</w:t>
      </w:r>
    </w:p>
    <w:p w14:paraId="3812BF0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用户需按门票要求提供对应 MC 数量作为流动性，流动性周期固定为以下三种之一：</w:t>
      </w:r>
    </w:p>
    <w:p w14:paraId="6B9A6E3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7 天</w:t>
      </w:r>
    </w:p>
    <w:p w14:paraId="233A314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15 天</w:t>
      </w:r>
    </w:p>
    <w:p w14:paraId="7CF63DB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30 天</w:t>
      </w:r>
    </w:p>
    <w:p w14:paraId="52A8FB4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周期结束后，系统自动停止静态收益计算。</w:t>
      </w:r>
    </w:p>
    <w:p w14:paraId="2FE50B4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7.2 静态收益计算规则</w:t>
      </w:r>
    </w:p>
    <w:p w14:paraId="1EFC26E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静态收益基于流动性MC 数量计算：</w:t>
      </w:r>
    </w:p>
    <w:p w14:paraId="02875A7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7 天：日化 2%</w:t>
      </w:r>
    </w:p>
    <w:p w14:paraId="4AE91FF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15 天：日化 2.5%</w:t>
      </w:r>
    </w:p>
    <w:p w14:paraId="44CF71A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30 天：日化 3%</w:t>
      </w:r>
    </w:p>
    <w:p w14:paraId="0A3EFA5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计算公式为：</w:t>
      </w:r>
    </w:p>
    <w:p w14:paraId="7248A20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静态收益 = 流动性MC × 日化 × 周期天数</w:t>
      </w:r>
    </w:p>
    <w:p w14:paraId="24AF410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7.3 静态收益结算结构</w:t>
      </w:r>
    </w:p>
    <w:p w14:paraId="30CEA96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所有静态收益结算时：</w:t>
      </w:r>
    </w:p>
    <w:p w14:paraId="30C6940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50% 以 MC 发放</w:t>
      </w:r>
    </w:p>
    <w:p w14:paraId="4733374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50% 以 JBC 发放</w:t>
      </w:r>
    </w:p>
    <w:p w14:paraId="2CEA1B7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JBC 发放数量 = MC 收益 ÷ 领取时 JBC 市价（AMM 即时价格）</w:t>
      </w:r>
    </w:p>
    <w:p w14:paraId="1587F5EF">
      <w:pPr>
        <w:pStyle w:val="2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1F40FD6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八、动态收益机制</w:t>
      </w:r>
    </w:p>
    <w:p w14:paraId="7A6C00C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8.1 动态收益类型</w:t>
      </w:r>
    </w:p>
    <w:p w14:paraId="2BBB0BD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系统支持以下动态收益：</w:t>
      </w:r>
    </w:p>
    <w:p w14:paraId="4A3F3AD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直推奖励</w:t>
      </w:r>
    </w:p>
    <w:p w14:paraId="378A03E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团队层级奖励</w:t>
      </w:r>
    </w:p>
    <w:p w14:paraId="51EF80B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裂变极差奖励</w:t>
      </w:r>
    </w:p>
    <w:p w14:paraId="0104C53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所有动态收益：</w:t>
      </w:r>
    </w:p>
    <w:p w14:paraId="096E1B6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仅以 MC 结算</w:t>
      </w:r>
    </w:p>
    <w:p w14:paraId="01C5E9C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秒级发放</w:t>
      </w:r>
    </w:p>
    <w:p w14:paraId="08CC29A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链上记录</w:t>
      </w:r>
    </w:p>
    <w:p w14:paraId="423BBDF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团队极差奖励按每人静态到期解冻发放，手动提取！</w:t>
      </w:r>
    </w:p>
    <w:p w14:paraId="6F44FFA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8.2 极差规则</w:t>
      </w:r>
    </w:p>
    <w:p w14:paraId="5D26E57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V1 至 V9 共 9 个等级</w:t>
      </w:r>
    </w:p>
    <w:p w14:paraId="36D1F22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按有效地址数量升级</w:t>
      </w:r>
    </w:p>
    <w:p w14:paraId="3F7C50B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同级不享受伞下极差</w:t>
      </w:r>
    </w:p>
    <w:p w14:paraId="358CEF9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极差奖励不与层级奖励叠加，仅取最高值</w:t>
      </w:r>
    </w:p>
    <w:p w14:paraId="009672A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九、三倍出局与烧伤机制</w:t>
      </w:r>
    </w:p>
    <w:p w14:paraId="3A78902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9.1 三倍出局规则</w:t>
      </w:r>
    </w:p>
    <w:p w14:paraId="1CBAF4D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当用户某一门票的：</w:t>
      </w:r>
    </w:p>
    <w:p w14:paraId="6148084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累计静态 + 动态收益 ≥ 门票 MC × 3</w:t>
      </w:r>
    </w:p>
    <w:p w14:paraId="2BD5414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系统自动触发出局：</w:t>
      </w:r>
    </w:p>
    <w:p w14:paraId="2DCBA51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门票状态锁定为 EXITED</w:t>
      </w:r>
    </w:p>
    <w:p w14:paraId="1F8C13A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</w:p>
    <w:p w14:paraId="5497890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停止所有收益计算</w:t>
      </w:r>
    </w:p>
    <w:p w14:paraId="6A3070F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9.2 烧伤规则</w:t>
      </w:r>
    </w:p>
    <w:p w14:paraId="523C4237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用户出局后，如未重新购买门票：</w:t>
      </w:r>
    </w:p>
    <w:p w14:paraId="5438F2F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新产生的动态奖励不再结算</w:t>
      </w:r>
    </w:p>
    <w:p w14:paraId="78D296C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已获得收益不回滚</w:t>
      </w:r>
    </w:p>
    <w:p w14:paraId="3CE61AA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十、赎回金机制</w:t>
      </w:r>
    </w:p>
    <w:p w14:paraId="4DC666F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用户在流动性周期结束后，需支付：</w:t>
      </w:r>
    </w:p>
    <w:p w14:paraId="1108F4F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门票金额 1% 的 MC 作为赎回金，（重新进入退回1%赎回金)</w:t>
      </w:r>
    </w:p>
    <w:p w14:paraId="0F5CC1B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支付后，系统自动将：</w:t>
      </w:r>
    </w:p>
    <w:p w14:paraId="52735A3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原流动性 MC</w:t>
      </w:r>
    </w:p>
    <w:p w14:paraId="1C90415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静态收益 MC</w:t>
      </w:r>
    </w:p>
    <w:p w14:paraId="1ED7CCF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静态收益 JBC</w:t>
      </w:r>
    </w:p>
    <w:p w14:paraId="2E4E10C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一次性发放至用户地址。</w:t>
      </w:r>
    </w:p>
    <w:p w14:paraId="11B7B94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十一、收益与销毁记录要求</w:t>
      </w:r>
    </w:p>
    <w:p w14:paraId="5521FE3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系统必须对以下行为建立链上记录：</w:t>
      </w:r>
    </w:p>
    <w:p w14:paraId="48CC317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每笔静态收益</w:t>
      </w:r>
    </w:p>
    <w:p w14:paraId="1E38849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每笔动态收益</w:t>
      </w:r>
    </w:p>
    <w:p w14:paraId="0E5A1A0D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每次 JBC 销毁</w:t>
      </w:r>
    </w:p>
    <w:p w14:paraId="65B5C2F3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每次出局触发</w:t>
      </w:r>
    </w:p>
    <w:p w14:paraId="626E7AB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记录字段至少包括：</w:t>
      </w:r>
    </w:p>
    <w:p w14:paraId="23DF374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用户地址</w:t>
      </w:r>
    </w:p>
    <w:p w14:paraId="1EFC2300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类型</w:t>
      </w:r>
    </w:p>
    <w:p w14:paraId="3852611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数量</w:t>
      </w:r>
    </w:p>
    <w:p w14:paraId="1F15244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时间戳</w:t>
      </w:r>
    </w:p>
    <w:p w14:paraId="2915AAD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</w:p>
    <w:p w14:paraId="3EC29E91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对应门票 ID</w:t>
      </w:r>
    </w:p>
    <w:p w14:paraId="181F6B5E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十二、权限与安全要求</w:t>
      </w:r>
    </w:p>
    <w:p w14:paraId="17994572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所有核心参数在部署后锁定</w:t>
      </w:r>
    </w:p>
    <w:p w14:paraId="2E627F2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不允许管理员提取用户资金</w:t>
      </w:r>
    </w:p>
    <w:p w14:paraId="357C6A3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LP 权限必须丢弃</w:t>
      </w:r>
    </w:p>
    <w:p w14:paraId="3FD71FA4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防重入、防溢出、防伪造调用</w:t>
      </w:r>
    </w:p>
    <w:p w14:paraId="63C30A2F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合约需通过第三方安全审计（需要的情况下）</w:t>
      </w:r>
    </w:p>
    <w:p w14:paraId="7029717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十三、交付与验收标准</w:t>
      </w:r>
    </w:p>
    <w:p w14:paraId="7BD4654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开发交付内容包括：</w:t>
      </w:r>
    </w:p>
    <w:p w14:paraId="0026FBA6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全部合约源码</w:t>
      </w:r>
    </w:p>
    <w:p w14:paraId="056E5F2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部署脚本</w:t>
      </w:r>
    </w:p>
    <w:p w14:paraId="46AC450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ABI 文件</w:t>
      </w:r>
    </w:p>
    <w:p w14:paraId="726713BC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测试用例</w:t>
      </w:r>
    </w:p>
    <w:p w14:paraId="0861A4CA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已部署合约地址清单</w:t>
      </w:r>
    </w:p>
    <w:p w14:paraId="5C501FB5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验收标准：</w:t>
      </w:r>
    </w:p>
    <w:p w14:paraId="4F6DAFDB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功能与本文档完全一致</w:t>
      </w:r>
    </w:p>
    <w:p w14:paraId="1E3D5D09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任一比例或规则偏差视为不合格</w:t>
      </w:r>
      <w:bookmarkStart w:id="0" w:name="_GoBack"/>
      <w:bookmarkEnd w:id="0"/>
    </w:p>
    <w:p w14:paraId="53379978">
      <w:pPr>
        <w:pStyle w:val="2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</w:pPr>
      <w:r>
        <w:t>• 审计无高危漏洞</w:t>
      </w:r>
    </w:p>
    <w:p w14:paraId="6D3E0EB4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字体管家版宋体">
    <w:altName w:val="宋体"/>
    <w:panose1 w:val="00020600040101010101"/>
    <w:charset w:val="86"/>
    <w:family w:val="auto"/>
    <w:pitch w:val="default"/>
    <w:sig w:usb0="00000000" w:usb1="00000000" w:usb2="00000016" w:usb3="00000000" w:csb0="0004009F" w:csb1="DFD70000"/>
  </w:font>
  <w:font w:name="字体管家鬼泣">
    <w:altName w:val="宋体"/>
    <w:panose1 w:val="00020600040101010101"/>
    <w:charset w:val="86"/>
    <w:family w:val="auto"/>
    <w:pitch w:val="default"/>
    <w:sig w:usb0="00000000" w:usb1="00000000" w:usb2="00000016" w:usb3="00000000" w:csb0="000400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6F52C1"/>
    <w:multiLevelType w:val="singleLevel"/>
    <w:tmpl w:val="5C6F52C1"/>
    <w:lvl w:ilvl="0" w:tentative="0">
      <w:start w:val="1"/>
      <w:numFmt w:val="chineseCounting"/>
      <w:pStyle w:val="6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72C36CA"/>
    <w:rsid w:val="047B15CE"/>
    <w:rsid w:val="09542093"/>
    <w:rsid w:val="227845AE"/>
    <w:rsid w:val="2DEE62DB"/>
    <w:rsid w:val="372C36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paragraph" w:customStyle="1" w:styleId="5">
    <w:name w:val="主标题"/>
    <w:basedOn w:val="1"/>
    <w:uiPriority w:val="0"/>
    <w:pPr>
      <w:spacing w:before="100" w:beforeLines="100" w:after="100" w:afterLines="100"/>
      <w:jc w:val="left"/>
    </w:pPr>
    <w:rPr>
      <w:rFonts w:hint="default" w:ascii="字体管家版宋体" w:hAnsi="字体管家版宋体" w:eastAsia="字体管家版宋体"/>
      <w:sz w:val="32"/>
      <w:szCs w:val="44"/>
    </w:rPr>
  </w:style>
  <w:style w:type="paragraph" w:customStyle="1" w:styleId="6">
    <w:name w:val="1副标题"/>
    <w:basedOn w:val="1"/>
    <w:uiPriority w:val="0"/>
    <w:pPr>
      <w:numPr>
        <w:ilvl w:val="0"/>
        <w:numId w:val="1"/>
      </w:numPr>
      <w:spacing w:before="50" w:beforeLines="50" w:after="50" w:afterLines="50"/>
      <w:jc w:val="left"/>
    </w:pPr>
    <w:rPr>
      <w:rFonts w:hint="default" w:ascii="字体管家鬼泣" w:hAnsi="字体管家鬼泣" w:eastAsia="字体管家鬼泣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1086</Words>
  <Characters>1351</Characters>
  <Lines>0</Lines>
  <Paragraphs>0</Paragraphs>
  <TotalTime>67</TotalTime>
  <ScaleCrop>false</ScaleCrop>
  <LinksUpToDate>false</LinksUpToDate>
  <CharactersWithSpaces>1353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2025-12-07T08:10:00Z</dcterms:created>
  <dc:creator>韩仓朔</dc:creator>
  <cp:lastModifiedBy>疯狂的线程</cp:lastModifiedBy>
  <dcterms:modified xsi:type="dcterms:W3CDTF">2025-12-23T18:10:48Z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4BA5EB8904D14AB3A12974D63AA8C23F_11</vt:lpwstr>
  </property>
  <property fmtid="{D5CDD505-2E9C-101B-9397-08002B2CF9AE}" pid="4" name="KSOTemplateDocerSaveRecord">
    <vt:lpwstr>eyJoZGlkIjoiOTdiZWQ4NjI0MjVjNzI3ZGRiZGZlZDUzOWVjMjEzOWUiLCJ1c2VySWQiOiIzOTQyMTgxNjYifQ==</vt:lpwstr>
  </property>
</Properties>
</file>