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Manager Performance &amp; Risk Report</w:t>
      </w:r>
    </w:p>
    <w:p>
      <w:r>
        <w:t>Period: 2021-02-11 to 2026-02-10</w:t>
      </w:r>
    </w:p>
    <w:p>
      <w:r>
        <w:t>Observations: 1,304</w:t>
      </w:r>
    </w:p>
    <w:p>
      <w:r>
        <w:t>Risk-free rate: daily series loaded from data/risk_free_daily.csv (Sharpe/alpha computed on excess returns).</w:t>
      </w:r>
    </w:p>
    <w:p/>
    <w:p>
      <w:pPr>
        <w:pStyle w:val="Heading1"/>
      </w:pPr>
      <w:r>
        <w:t>Executive Summary</w:t>
      </w:r>
    </w:p>
    <w:p>
      <w:pPr>
        <w:pStyle w:val="Heading2"/>
      </w:pPr>
      <w:r>
        <w:t>Key takeaways</w:t>
      </w:r>
    </w:p>
    <w:p>
      <w:pPr>
        <w:pStyle w:val="ListBullet"/>
      </w:pPr>
      <w:r>
        <w:t>Cumulative return: -32.03% | Annualized return: -7.19%</w:t>
      </w:r>
    </w:p>
    <w:p>
      <w:pPr>
        <w:pStyle w:val="ListBullet"/>
      </w:pPr>
      <w:r>
        <w:t>Annualized vol: 9.27% | Sharpe (excess): -0.76</w:t>
      </w:r>
    </w:p>
    <w:p>
      <w:pPr>
        <w:pStyle w:val="ListBullet"/>
      </w:pPr>
      <w:r>
        <w:t>Max drawdown: -37.04% (peak 2021-04-22 → trough 2024-08-07)</w:t>
      </w:r>
    </w:p>
    <w:p>
      <w:pPr>
        <w:pStyle w:val="ListBullet"/>
      </w:pPr>
      <w:r>
        <w:t>Beta vs benchmark (latest 252d): 0.41 | Full-period beta: 0.42</w:t>
      </w:r>
    </w:p>
    <w:p>
      <w:pPr>
        <w:pStyle w:val="ListBullet"/>
      </w:pPr>
      <w:r>
        <w:t>Worst month: 2021-06-30 (-6.52%) | Current drawdown: -20.29%</w:t>
      </w:r>
    </w:p>
    <w:p/>
    <w:p>
      <w:pPr>
        <w:pStyle w:val="Heading1"/>
      </w:pPr>
      <w:r>
        <w:t>Monitoring Notes</w:t>
      </w:r>
    </w:p>
    <w:p>
      <w:pPr>
        <w:pStyle w:val="ListBullet"/>
      </w:pPr>
      <w:r>
        <w:t>Current drawdown: -20.29%</w:t>
      </w:r>
    </w:p>
    <w:p>
      <w:pPr>
        <w:pStyle w:val="ListBullet"/>
      </w:pPr>
      <w:r>
        <w:t>Latest rolling vol (63d): 9.54% (annualized)</w:t>
      </w:r>
    </w:p>
    <w:p>
      <w:pPr>
        <w:pStyle w:val="ListBullet"/>
      </w:pPr>
      <w:r>
        <w:t>Latest rolling Sharpe (252d, excess): -0.59</w:t>
      </w:r>
    </w:p>
    <w:p>
      <w:pPr>
        <w:pStyle w:val="ListBullet"/>
      </w:pPr>
      <w:r>
        <w:t>Latest rolling beta (252d): 0.41</w:t>
      </w:r>
    </w:p>
    <w:p>
      <w:r>
        <w:t>Worst 5 days (daily returns):</w:t>
      </w:r>
    </w:p>
    <w:p>
      <w:pPr>
        <w:pStyle w:val="ListBullet"/>
      </w:pPr>
      <w:r>
        <w:t>2024-01-18: -2.16%</w:t>
      </w:r>
    </w:p>
    <w:p>
      <w:pPr>
        <w:pStyle w:val="ListBullet"/>
      </w:pPr>
      <w:r>
        <w:t>2025-10-07: -1.68%</w:t>
      </w:r>
    </w:p>
    <w:p>
      <w:pPr>
        <w:pStyle w:val="ListBullet"/>
      </w:pPr>
      <w:r>
        <w:t>2022-05-05: -1.66%</w:t>
      </w:r>
    </w:p>
    <w:p>
      <w:pPr>
        <w:pStyle w:val="ListBullet"/>
      </w:pPr>
      <w:r>
        <w:t>2023-09-05: -1.66%</w:t>
      </w:r>
    </w:p>
    <w:p>
      <w:pPr>
        <w:pStyle w:val="ListBullet"/>
      </w:pPr>
      <w:r>
        <w:t>2022-10-10: -1.61%</w:t>
      </w:r>
    </w:p>
    <w:p/>
    <w:p>
      <w:pPr>
        <w:pStyle w:val="Heading1"/>
      </w:pPr>
      <w:r>
        <w:t>Monitoring Flags</w:t>
      </w:r>
    </w:p>
    <w:p>
      <w:pPr>
        <w:pStyle w:val="ListBullet"/>
      </w:pPr>
      <w:r>
        <w:t>Drawdown breach: current drawdown -36.28% &lt;= -20% threshold.</w:t>
      </w:r>
    </w:p>
    <w:p>
      <w:pPr>
        <w:pStyle w:val="ListBullet"/>
      </w:pPr>
      <w:r>
        <w:t>Max drawdown breach: max drawdown -37.04% &lt;= -20% threshold.</w:t>
      </w:r>
    </w:p>
    <w:p>
      <w:pPr>
        <w:pStyle w:val="ListBullet"/>
      </w:pPr>
      <w:r>
        <w:t>Sharpe deterioration: 99% of last 126 days had rolling Sharpe &lt; 0.00 (latest -0.59).</w:t>
      </w:r>
    </w:p>
    <w:p/>
    <w:p>
      <w:pPr>
        <w:pStyle w:val="Heading1"/>
      </w:pPr>
      <w:r>
        <w:t>Performance &amp; Risk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Annual return</w:t>
            </w:r>
          </w:p>
        </w:tc>
        <w:tc>
          <w:tcPr>
            <w:tcW w:type="dxa" w:w="4320"/>
          </w:tcPr>
          <w:p>
            <w:r>
              <w:t>-7.19%</w:t>
            </w:r>
          </w:p>
        </w:tc>
      </w:tr>
      <w:tr>
        <w:tc>
          <w:tcPr>
            <w:tcW w:type="dxa" w:w="4320"/>
          </w:tcPr>
          <w:p>
            <w:r>
              <w:t>Cumulative returns</w:t>
            </w:r>
          </w:p>
        </w:tc>
        <w:tc>
          <w:tcPr>
            <w:tcW w:type="dxa" w:w="4320"/>
          </w:tcPr>
          <w:p>
            <w:r>
              <w:t>-32.03%</w:t>
            </w:r>
          </w:p>
        </w:tc>
      </w:tr>
      <w:tr>
        <w:tc>
          <w:tcPr>
            <w:tcW w:type="dxa" w:w="4320"/>
          </w:tcPr>
          <w:p>
            <w:r>
              <w:t>Annual volatility</w:t>
            </w:r>
          </w:p>
        </w:tc>
        <w:tc>
          <w:tcPr>
            <w:tcW w:type="dxa" w:w="4320"/>
          </w:tcPr>
          <w:p>
            <w:r>
              <w:t>9.27%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-0.76</w:t>
            </w:r>
          </w:p>
        </w:tc>
      </w:tr>
      <w:tr>
        <w:tc>
          <w:tcPr>
            <w:tcW w:type="dxa" w:w="4320"/>
          </w:tcPr>
          <w:p>
            <w:r>
              <w:t>Calmar ratio</w:t>
            </w:r>
          </w:p>
        </w:tc>
        <w:tc>
          <w:tcPr>
            <w:tcW w:type="dxa" w:w="4320"/>
          </w:tcPr>
          <w:p>
            <w:r>
              <w:t>-0.19</w:t>
            </w:r>
          </w:p>
        </w:tc>
      </w:tr>
      <w:tr>
        <w:tc>
          <w:tcPr>
            <w:tcW w:type="dxa" w:w="4320"/>
          </w:tcPr>
          <w:p>
            <w:r>
              <w:t>Stability</w:t>
            </w:r>
          </w:p>
        </w:tc>
        <w:tc>
          <w:tcPr>
            <w:tcW w:type="dxa" w:w="4320"/>
          </w:tcPr>
          <w:p>
            <w:r>
              <w:t>0.94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-37.04%</w:t>
            </w:r>
          </w:p>
        </w:tc>
      </w:tr>
      <w:tr>
        <w:tc>
          <w:tcPr>
            <w:tcW w:type="dxa" w:w="4320"/>
          </w:tcPr>
          <w:p>
            <w:r>
              <w:t>Omega ratio</w:t>
            </w:r>
          </w:p>
        </w:tc>
        <w:tc>
          <w:tcPr>
            <w:tcW w:type="dxa" w:w="4320"/>
          </w:tcPr>
          <w:p>
            <w:r>
              <w:t>0.88</w:t>
            </w:r>
          </w:p>
        </w:tc>
      </w:tr>
      <w:tr>
        <w:tc>
          <w:tcPr>
            <w:tcW w:type="dxa" w:w="4320"/>
          </w:tcPr>
          <w:p>
            <w:r>
              <w:t>Sortino ratio</w:t>
            </w:r>
          </w:p>
        </w:tc>
        <w:tc>
          <w:tcPr>
            <w:tcW w:type="dxa" w:w="4320"/>
          </w:tcPr>
          <w:p>
            <w:r>
              <w:t>-1.02</w:t>
            </w:r>
          </w:p>
        </w:tc>
      </w:tr>
      <w:tr>
        <w:tc>
          <w:tcPr>
            <w:tcW w:type="dxa" w:w="4320"/>
          </w:tcPr>
          <w:p>
            <w:r>
              <w:t>Skew</w:t>
            </w:r>
          </w:p>
        </w:tc>
        <w:tc>
          <w:tcPr>
            <w:tcW w:type="dxa" w:w="4320"/>
          </w:tcPr>
          <w:p>
            <w:r>
              <w:t>-0.06</w:t>
            </w:r>
          </w:p>
        </w:tc>
      </w:tr>
      <w:tr>
        <w:tc>
          <w:tcPr>
            <w:tcW w:type="dxa" w:w="4320"/>
          </w:tcPr>
          <w:p>
            <w:r>
              <w:t>Kurtosis</w:t>
            </w:r>
          </w:p>
        </w:tc>
        <w:tc>
          <w:tcPr>
            <w:tcW w:type="dxa" w:w="4320"/>
          </w:tcPr>
          <w:p>
            <w:r>
              <w:t>0.29</w:t>
            </w:r>
          </w:p>
        </w:tc>
      </w:tr>
      <w:tr>
        <w:tc>
          <w:tcPr>
            <w:tcW w:type="dxa" w:w="4320"/>
          </w:tcPr>
          <w:p>
            <w:r>
              <w:t>Tail ratio</w:t>
            </w:r>
          </w:p>
        </w:tc>
        <w:tc>
          <w:tcPr>
            <w:tcW w:type="dxa" w:w="4320"/>
          </w:tcPr>
          <w:p>
            <w:r>
              <w:t>0.89</w:t>
            </w:r>
          </w:p>
        </w:tc>
      </w:tr>
      <w:tr>
        <w:tc>
          <w:tcPr>
            <w:tcW w:type="dxa" w:w="4320"/>
          </w:tcPr>
          <w:p>
            <w:r>
              <w:t>Daily value at risk</w:t>
            </w:r>
          </w:p>
        </w:tc>
        <w:tc>
          <w:tcPr>
            <w:tcW w:type="dxa" w:w="4320"/>
          </w:tcPr>
          <w:p>
            <w:r>
              <w:t>-1.20%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-5.70%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0.42</w:t>
            </w:r>
          </w:p>
        </w:tc>
      </w:tr>
    </w:tbl>
    <w:p/>
    <w:p>
      <w:pPr>
        <w:pStyle w:val="Heading1"/>
      </w:pPr>
      <w:r>
        <w:t>Charts</w:t>
      </w:r>
    </w:p>
    <w:p>
      <w:pPr>
        <w:pStyle w:val="Heading2"/>
      </w:pPr>
      <w:r>
        <w:t>Equity Curve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Wealth index (start=1.0) aligned to common trading days. Benchmark shown as provided in benchmark_prices.csv.</w:t>
      </w:r>
    </w:p>
    <w:p>
      <w:pPr>
        <w:pStyle w:val="Heading2"/>
      </w:pPr>
      <w:r>
        <w:t>Drawdown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Rolling Volatility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vol_6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Rolling Sharpe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sharpe_252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Rolling Beta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beta_252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Return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_h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