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Backtest Summary Report</w:t>
      </w:r>
    </w:p>
    <w:p>
      <w:pPr>
        <w:pStyle w:val="Heading2"/>
      </w:pPr>
      <w:r>
        <w:t>Executive Summary</w:t>
      </w:r>
    </w:p>
    <w:p>
      <w:r>
        <w:t>Portfolio (annualised): Return=14.33%, Volatility=18.53%, Sharpe=0.649</w:t>
      </w:r>
    </w:p>
    <w:p>
      <w:r>
        <w:t>Key takeaways:</w:t>
      </w:r>
    </w:p>
    <w:p>
      <w:pPr>
        <w:pStyle w:val="ListBullet"/>
      </w:pPr>
      <w:r>
        <w:t>Best method (by Sharpe): MSR (Sharpe=1.001, Return=23.15%, Vol=20.81%)</w:t>
      </w:r>
    </w:p>
    <w:p>
      <w:pPr>
        <w:pStyle w:val="ListBullet"/>
      </w:pPr>
      <w:r>
        <w:t>Worst method (by Sharpe): GMV (Sharpe=0.315, Return=6.62%, Vol=13.69%)</w:t>
      </w:r>
    </w:p>
    <w:p>
      <w:pPr>
        <w:pStyle w:val="ListBullet"/>
      </w:pPr>
      <w:r>
        <w:t>Top 3 tickers by CAGR: MSFT (0.27), AAPL (0.24), ATT.L (0.19)</w:t>
      </w:r>
    </w:p>
    <w:p>
      <w:pPr>
        <w:pStyle w:val="ListBullet"/>
      </w:pPr>
      <w:r>
        <w:t>Worst drawdown: -29.92% on 2020-03-23</w:t>
      </w:r>
    </w:p>
    <w:p/>
    <w:p>
      <w:pPr>
        <w:pStyle w:val="Heading2"/>
      </w:pPr>
      <w:r>
        <w:t>Charts</w:t>
      </w:r>
    </w:p>
    <w:p>
      <w:r>
        <w:t>Wealth Index Comparison</w:t>
      </w:r>
    </w:p>
    <w:p>
      <w:r>
        <w:drawing>
          <wp:inline xmlns:a="http://schemas.openxmlformats.org/drawingml/2006/main" xmlns:pic="http://schemas.openxmlformats.org/drawingml/2006/picture">
            <wp:extent cx="5943600" cy="31712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lthIndexComparison_20260208_2044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Efficient Frontier</w:t>
      </w:r>
    </w:p>
    <w:p>
      <w:r>
        <w:drawing>
          <wp:inline xmlns:a="http://schemas.openxmlformats.org/drawingml/2006/main" xmlns:pic="http://schemas.openxmlformats.org/drawingml/2006/picture">
            <wp:extent cx="5943600" cy="4681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icient_frontier_20260208_2039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2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Portfolio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Portfolio Returns%</w:t>
            </w:r>
          </w:p>
        </w:tc>
        <w:tc>
          <w:tcPr>
            <w:tcW w:type="dxa" w:w="2160"/>
          </w:tcPr>
          <w:p>
            <w:r>
              <w:t>Portfolio Volatility%</w:t>
            </w:r>
          </w:p>
        </w:tc>
        <w:tc>
          <w:tcPr>
            <w:tcW w:type="dxa" w:w="2160"/>
          </w:tcPr>
          <w:p>
            <w:r>
              <w:t>Portfolio Sharpe Ratio</w:t>
            </w:r>
          </w:p>
        </w:tc>
      </w:tr>
      <w:tr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14.3338</w:t>
            </w:r>
          </w:p>
        </w:tc>
        <w:tc>
          <w:tcPr>
            <w:tcW w:type="dxa" w:w="2160"/>
          </w:tcPr>
          <w:p>
            <w:r>
              <w:t>18.5333</w:t>
            </w:r>
          </w:p>
        </w:tc>
        <w:tc>
          <w:tcPr>
            <w:tcW w:type="dxa" w:w="2160"/>
          </w:tcPr>
          <w:p>
            <w:r>
              <w:t>0.6489</w:t>
            </w:r>
          </w:p>
        </w:tc>
      </w:tr>
    </w:tbl>
    <w:p/>
    <w:p>
      <w:pPr>
        <w:pStyle w:val="Heading2"/>
      </w:pPr>
      <w:r>
        <w:t>Methods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Return (ann.%)</w:t>
            </w:r>
          </w:p>
        </w:tc>
        <w:tc>
          <w:tcPr>
            <w:tcW w:type="dxa" w:w="1728"/>
          </w:tcPr>
          <w:p>
            <w:r>
              <w:t>Vol (ann.%)</w:t>
            </w:r>
          </w:p>
        </w:tc>
        <w:tc>
          <w:tcPr>
            <w:tcW w:type="dxa" w:w="1728"/>
          </w:tcPr>
          <w:p>
            <w:r>
              <w:t>Sharpe</w:t>
            </w:r>
          </w:p>
        </w:tc>
      </w:tr>
      <w:tr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Original</w:t>
            </w:r>
          </w:p>
        </w:tc>
        <w:tc>
          <w:tcPr>
            <w:tcW w:type="dxa" w:w="1728"/>
          </w:tcPr>
          <w:p>
            <w:r>
              <w:t>14.3338</w:t>
            </w:r>
          </w:p>
        </w:tc>
        <w:tc>
          <w:tcPr>
            <w:tcW w:type="dxa" w:w="1728"/>
          </w:tcPr>
          <w:p>
            <w:r>
              <w:t>18.5333</w:t>
            </w:r>
          </w:p>
        </w:tc>
        <w:tc>
          <w:tcPr>
            <w:tcW w:type="dxa" w:w="1728"/>
          </w:tcPr>
          <w:p>
            <w:r>
              <w:t>0.6489</w:t>
            </w:r>
          </w:p>
        </w:tc>
      </w:tr>
      <w:tr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EW</w:t>
            </w:r>
          </w:p>
        </w:tc>
        <w:tc>
          <w:tcPr>
            <w:tcW w:type="dxa" w:w="1728"/>
          </w:tcPr>
          <w:p>
            <w:r>
              <w:t>11.0526</w:t>
            </w:r>
          </w:p>
        </w:tc>
        <w:tc>
          <w:tcPr>
            <w:tcW w:type="dxa" w:w="1728"/>
          </w:tcPr>
          <w:p>
            <w:r>
              <w:t>17.1055</w:t>
            </w:r>
          </w:p>
        </w:tc>
        <w:tc>
          <w:tcPr>
            <w:tcW w:type="dxa" w:w="1728"/>
          </w:tcPr>
          <w:p>
            <w:r>
              <w:t>0.5112</w:t>
            </w:r>
          </w:p>
        </w:tc>
      </w:tr>
      <w:tr>
        <w:tc>
          <w:tcPr>
            <w:tcW w:type="dxa" w:w="1728"/>
          </w:tcPr>
          <w:p>
            <w:r>
              <w:t>2.0000</w:t>
            </w:r>
          </w:p>
        </w:tc>
        <w:tc>
          <w:tcPr>
            <w:tcW w:type="dxa" w:w="1728"/>
          </w:tcPr>
          <w:p>
            <w:r>
              <w:t>GMV</w:t>
            </w:r>
          </w:p>
        </w:tc>
        <w:tc>
          <w:tcPr>
            <w:tcW w:type="dxa" w:w="1728"/>
          </w:tcPr>
          <w:p>
            <w:r>
              <w:t>6.6165</w:t>
            </w:r>
          </w:p>
        </w:tc>
        <w:tc>
          <w:tcPr>
            <w:tcW w:type="dxa" w:w="1728"/>
          </w:tcPr>
          <w:p>
            <w:r>
              <w:t>13.6877</w:t>
            </w:r>
          </w:p>
        </w:tc>
        <w:tc>
          <w:tcPr>
            <w:tcW w:type="dxa" w:w="1728"/>
          </w:tcPr>
          <w:p>
            <w:r>
              <w:t>0.3148</w:t>
            </w:r>
          </w:p>
        </w:tc>
      </w:tr>
      <w:tr>
        <w:tc>
          <w:tcPr>
            <w:tcW w:type="dxa" w:w="1728"/>
          </w:tcPr>
          <w:p>
            <w:r>
              <w:t>3.0000</w:t>
            </w:r>
          </w:p>
        </w:tc>
        <w:tc>
          <w:tcPr>
            <w:tcW w:type="dxa" w:w="1728"/>
          </w:tcPr>
          <w:p>
            <w:r>
              <w:t>MSR</w:t>
            </w:r>
          </w:p>
        </w:tc>
        <w:tc>
          <w:tcPr>
            <w:tcW w:type="dxa" w:w="1728"/>
          </w:tcPr>
          <w:p>
            <w:r>
              <w:t>23.1470</w:t>
            </w:r>
          </w:p>
        </w:tc>
        <w:tc>
          <w:tcPr>
            <w:tcW w:type="dxa" w:w="1728"/>
          </w:tcPr>
          <w:p>
            <w:r>
              <w:t>20.8148</w:t>
            </w:r>
          </w:p>
        </w:tc>
        <w:tc>
          <w:tcPr>
            <w:tcW w:type="dxa" w:w="1728"/>
          </w:tcPr>
          <w:p>
            <w:r>
              <w:t>1.0012</w:t>
            </w:r>
          </w:p>
        </w:tc>
      </w:tr>
    </w:tbl>
    <w:p/>
    <w:p>
      <w:pPr>
        <w:pStyle w:val="Heading2"/>
      </w:pPr>
      <w:r>
        <w:t>Top Weights (Top 5 per Method)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index</w:t>
            </w:r>
          </w:p>
        </w:tc>
        <w:tc>
          <w:tcPr>
            <w:tcW w:type="dxa" w:w="1234"/>
          </w:tcPr>
          <w:p>
            <w:r>
              <w:t>Method</w:t>
            </w:r>
          </w:p>
        </w:tc>
        <w:tc>
          <w:tcPr>
            <w:tcW w:type="dxa" w:w="1234"/>
          </w:tcPr>
          <w:p>
            <w:r>
              <w:t>Top1</w:t>
            </w:r>
          </w:p>
        </w:tc>
        <w:tc>
          <w:tcPr>
            <w:tcW w:type="dxa" w:w="1234"/>
          </w:tcPr>
          <w:p>
            <w:r>
              <w:t>Top2</w:t>
            </w:r>
          </w:p>
        </w:tc>
        <w:tc>
          <w:tcPr>
            <w:tcW w:type="dxa" w:w="1234"/>
          </w:tcPr>
          <w:p>
            <w:r>
              <w:t>Top3</w:t>
            </w:r>
          </w:p>
        </w:tc>
        <w:tc>
          <w:tcPr>
            <w:tcW w:type="dxa" w:w="1234"/>
          </w:tcPr>
          <w:p>
            <w:r>
              <w:t>Top4</w:t>
            </w:r>
          </w:p>
        </w:tc>
        <w:tc>
          <w:tcPr>
            <w:tcW w:type="dxa" w:w="1234"/>
          </w:tcPr>
          <w:p>
            <w:r>
              <w:t>Top5</w:t>
            </w:r>
          </w:p>
        </w:tc>
      </w:tr>
      <w:tr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Original</w:t>
            </w:r>
          </w:p>
        </w:tc>
        <w:tc>
          <w:tcPr>
            <w:tcW w:type="dxa" w:w="1234"/>
          </w:tcPr>
          <w:p>
            <w:r>
              <w:t>MSFT: 13.82%</w:t>
            </w:r>
          </w:p>
        </w:tc>
        <w:tc>
          <w:tcPr>
            <w:tcW w:type="dxa" w:w="1234"/>
          </w:tcPr>
          <w:p>
            <w:r>
              <w:t>ATT.L: 12.15%</w:t>
            </w:r>
          </w:p>
        </w:tc>
        <w:tc>
          <w:tcPr>
            <w:tcW w:type="dxa" w:w="1234"/>
          </w:tcPr>
          <w:p>
            <w:r>
              <w:t>MRVL: 11.77%</w:t>
            </w:r>
          </w:p>
        </w:tc>
        <w:tc>
          <w:tcPr>
            <w:tcW w:type="dxa" w:w="1234"/>
          </w:tcPr>
          <w:p>
            <w:r>
              <w:t>AAPL: 9.80%</w:t>
            </w:r>
          </w:p>
        </w:tc>
        <w:tc>
          <w:tcPr>
            <w:tcW w:type="dxa" w:w="1234"/>
          </w:tcPr>
          <w:p>
            <w:r>
              <w:t>ISF.L: 8.98%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EW</w:t>
            </w:r>
          </w:p>
        </w:tc>
        <w:tc>
          <w:tcPr>
            <w:tcW w:type="dxa" w:w="1234"/>
          </w:tcPr>
          <w:p>
            <w:r>
              <w:t>ISF.L: 5.88%</w:t>
            </w:r>
          </w:p>
        </w:tc>
        <w:tc>
          <w:tcPr>
            <w:tcW w:type="dxa" w:w="1234"/>
          </w:tcPr>
          <w:p>
            <w:r>
              <w:t>ADM.L: 5.88%</w:t>
            </w:r>
          </w:p>
        </w:tc>
        <w:tc>
          <w:tcPr>
            <w:tcW w:type="dxa" w:w="1234"/>
          </w:tcPr>
          <w:p>
            <w:r>
              <w:t>TW.L: 5.88%</w:t>
            </w:r>
          </w:p>
        </w:tc>
        <w:tc>
          <w:tcPr>
            <w:tcW w:type="dxa" w:w="1234"/>
          </w:tcPr>
          <w:p>
            <w:r>
              <w:t>ALB: 5.88%</w:t>
            </w:r>
          </w:p>
        </w:tc>
        <w:tc>
          <w:tcPr>
            <w:tcW w:type="dxa" w:w="1234"/>
          </w:tcPr>
          <w:p>
            <w:r>
              <w:t>TXN: 5.88%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GMV</w:t>
            </w:r>
          </w:p>
        </w:tc>
        <w:tc>
          <w:tcPr>
            <w:tcW w:type="dxa" w:w="1234"/>
          </w:tcPr>
          <w:p>
            <w:r>
              <w:t>ISF.L: 24.86%</w:t>
            </w:r>
          </w:p>
        </w:tc>
        <w:tc>
          <w:tcPr>
            <w:tcW w:type="dxa" w:w="1234"/>
          </w:tcPr>
          <w:p>
            <w:r>
              <w:t>GSK.L: 24.21%</w:t>
            </w:r>
          </w:p>
        </w:tc>
        <w:tc>
          <w:tcPr>
            <w:tcW w:type="dxa" w:w="1234"/>
          </w:tcPr>
          <w:p>
            <w:r>
              <w:t>PFE: 14.59%</w:t>
            </w:r>
          </w:p>
        </w:tc>
        <w:tc>
          <w:tcPr>
            <w:tcW w:type="dxa" w:w="1234"/>
          </w:tcPr>
          <w:p>
            <w:r>
              <w:t>BRK-B: 13.10%</w:t>
            </w:r>
          </w:p>
        </w:tc>
        <w:tc>
          <w:tcPr>
            <w:tcW w:type="dxa" w:w="1234"/>
          </w:tcPr>
          <w:p>
            <w:r>
              <w:t>ADM.L: 8.43%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MSR</w:t>
            </w:r>
          </w:p>
        </w:tc>
        <w:tc>
          <w:tcPr>
            <w:tcW w:type="dxa" w:w="1234"/>
          </w:tcPr>
          <w:p>
            <w:r>
              <w:t>MSFT: 47.11%</w:t>
            </w:r>
          </w:p>
        </w:tc>
        <w:tc>
          <w:tcPr>
            <w:tcW w:type="dxa" w:w="1234"/>
          </w:tcPr>
          <w:p>
            <w:r>
              <w:t>ATT.L: 23.28%</w:t>
            </w:r>
          </w:p>
        </w:tc>
        <w:tc>
          <w:tcPr>
            <w:tcW w:type="dxa" w:w="1234"/>
          </w:tcPr>
          <w:p>
            <w:r>
              <w:t>AAPL: 18.31%</w:t>
            </w:r>
          </w:p>
        </w:tc>
        <w:tc>
          <w:tcPr>
            <w:tcW w:type="dxa" w:w="1234"/>
          </w:tcPr>
          <w:p>
            <w:r>
              <w:t>CACI: 11.29%</w:t>
            </w:r>
          </w:p>
        </w:tc>
        <w:tc>
          <w:tcPr>
            <w:tcW w:type="dxa" w:w="1234"/>
          </w:tcPr>
          <w:p>
            <w:r>
              <w:t>ISF.L: 0.00%</w:t>
            </w:r>
          </w:p>
        </w:tc>
      </w:tr>
    </w:tbl>
    <w:p/>
    <w:p>
      <w:pPr>
        <w:pStyle w:val="Heading2"/>
      </w:pPr>
      <w:r>
        <w:t>Top 15 CAGR Tickers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Ticker</w:t>
            </w:r>
          </w:p>
        </w:tc>
        <w:tc>
          <w:tcPr>
            <w:tcW w:type="dxa" w:w="2880"/>
          </w:tcPr>
          <w:p>
            <w:r>
              <w:t>CAGR</w:t>
            </w:r>
          </w:p>
        </w:tc>
      </w:tr>
      <w:tr>
        <w:tc>
          <w:tcPr>
            <w:tcW w:type="dxa" w:w="2880"/>
          </w:tcPr>
          <w:p>
            <w:r>
              <w:t>11.0000</w:t>
            </w:r>
          </w:p>
        </w:tc>
        <w:tc>
          <w:tcPr>
            <w:tcW w:type="dxa" w:w="2880"/>
          </w:tcPr>
          <w:p>
            <w:r>
              <w:t>MSFT</w:t>
            </w:r>
          </w:p>
        </w:tc>
        <w:tc>
          <w:tcPr>
            <w:tcW w:type="dxa" w:w="2880"/>
          </w:tcPr>
          <w:p>
            <w:r>
              <w:t>0.2659</w:t>
            </w:r>
          </w:p>
        </w:tc>
      </w:tr>
      <w:tr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AAPL</w:t>
            </w:r>
          </w:p>
        </w:tc>
        <w:tc>
          <w:tcPr>
            <w:tcW w:type="dxa" w:w="2880"/>
          </w:tcPr>
          <w:p>
            <w:r>
              <w:t>0.2407</w:t>
            </w:r>
          </w:p>
        </w:tc>
      </w:tr>
      <w:tr>
        <w:tc>
          <w:tcPr>
            <w:tcW w:type="dxa" w:w="2880"/>
          </w:tcPr>
          <w:p>
            <w:r>
              <w:t>3.0000</w:t>
            </w:r>
          </w:p>
        </w:tc>
        <w:tc>
          <w:tcPr>
            <w:tcW w:type="dxa" w:w="2880"/>
          </w:tcPr>
          <w:p>
            <w:r>
              <w:t>ATT.L</w:t>
            </w:r>
          </w:p>
        </w:tc>
        <w:tc>
          <w:tcPr>
            <w:tcW w:type="dxa" w:w="2880"/>
          </w:tcPr>
          <w:p>
            <w:r>
              <w:t>0.1854</w:t>
            </w:r>
          </w:p>
        </w:tc>
      </w:tr>
      <w:tr>
        <w:tc>
          <w:tcPr>
            <w:tcW w:type="dxa" w:w="2880"/>
          </w:tcPr>
          <w:p>
            <w:r>
              <w:t>7.0000</w:t>
            </w:r>
          </w:p>
        </w:tc>
        <w:tc>
          <w:tcPr>
            <w:tcW w:type="dxa" w:w="2880"/>
          </w:tcPr>
          <w:p>
            <w:r>
              <w:t>GOOGL</w:t>
            </w:r>
          </w:p>
        </w:tc>
        <w:tc>
          <w:tcPr>
            <w:tcW w:type="dxa" w:w="2880"/>
          </w:tcPr>
          <w:p>
            <w:r>
              <w:t>0.1773</w:t>
            </w:r>
          </w:p>
        </w:tc>
      </w:tr>
      <w:tr>
        <w:tc>
          <w:tcPr>
            <w:tcW w:type="dxa" w:w="2880"/>
          </w:tcPr>
          <w:p>
            <w:r>
              <w:t>6.0000</w:t>
            </w:r>
          </w:p>
        </w:tc>
        <w:tc>
          <w:tcPr>
            <w:tcW w:type="dxa" w:w="2880"/>
          </w:tcPr>
          <w:p>
            <w:r>
              <w:t>CACI</w:t>
            </w:r>
          </w:p>
        </w:tc>
        <w:tc>
          <w:tcPr>
            <w:tcW w:type="dxa" w:w="2880"/>
          </w:tcPr>
          <w:p>
            <w:r>
              <w:t>0.1677</w:t>
            </w:r>
          </w:p>
        </w:tc>
      </w:tr>
      <w:tr>
        <w:tc>
          <w:tcPr>
            <w:tcW w:type="dxa" w:w="2880"/>
          </w:tcPr>
          <w:p>
            <w:r>
              <w:t>15.0000</w:t>
            </w:r>
          </w:p>
        </w:tc>
        <w:tc>
          <w:tcPr>
            <w:tcW w:type="dxa" w:w="2880"/>
          </w:tcPr>
          <w:p>
            <w:r>
              <w:t>TXN</w:t>
            </w:r>
          </w:p>
        </w:tc>
        <w:tc>
          <w:tcPr>
            <w:tcW w:type="dxa" w:w="2880"/>
          </w:tcPr>
          <w:p>
            <w:r>
              <w:t>0.1656</w:t>
            </w:r>
          </w:p>
        </w:tc>
      </w:tr>
      <w:tr>
        <w:tc>
          <w:tcPr>
            <w:tcW w:type="dxa" w:w="2880"/>
          </w:tcPr>
          <w:p>
            <w:r>
              <w:t>5.0000</w:t>
            </w:r>
          </w:p>
        </w:tc>
        <w:tc>
          <w:tcPr>
            <w:tcW w:type="dxa" w:w="2880"/>
          </w:tcPr>
          <w:p>
            <w:r>
              <w:t>BRK-B</w:t>
            </w:r>
          </w:p>
        </w:tc>
        <w:tc>
          <w:tcPr>
            <w:tcW w:type="dxa" w:w="2880"/>
          </w:tcPr>
          <w:p>
            <w:r>
              <w:t>0.1221</w:t>
            </w:r>
          </w:p>
        </w:tc>
      </w:tr>
      <w:tr>
        <w:tc>
          <w:tcPr>
            <w:tcW w:type="dxa" w:w="2880"/>
          </w:tcPr>
          <w:p>
            <w:r>
              <w:t>10.0000</w:t>
            </w:r>
          </w:p>
        </w:tc>
        <w:tc>
          <w:tcPr>
            <w:tcW w:type="dxa" w:w="2880"/>
          </w:tcPr>
          <w:p>
            <w:r>
              <w:t>MRVL</w:t>
            </w:r>
          </w:p>
        </w:tc>
        <w:tc>
          <w:tcPr>
            <w:tcW w:type="dxa" w:w="2880"/>
          </w:tcPr>
          <w:p>
            <w:r>
              <w:t>0.1111</w:t>
            </w:r>
          </w:p>
        </w:tc>
      </w:tr>
      <w:tr>
        <w:tc>
          <w:tcPr>
            <w:tcW w:type="dxa" w:w="2880"/>
          </w:tcPr>
          <w:p>
            <w:r>
              <w:t>14.0000</w:t>
            </w:r>
          </w:p>
        </w:tc>
        <w:tc>
          <w:tcPr>
            <w:tcW w:type="dxa" w:w="2880"/>
          </w:tcPr>
          <w:p>
            <w:r>
              <w:t>TW.L</w:t>
            </w:r>
          </w:p>
        </w:tc>
        <w:tc>
          <w:tcPr>
            <w:tcW w:type="dxa" w:w="2880"/>
          </w:tcPr>
          <w:p>
            <w:r>
              <w:t>0.1101</w:t>
            </w:r>
          </w:p>
        </w:tc>
      </w:tr>
      <w:tr>
        <w:tc>
          <w:tcPr>
            <w:tcW w:type="dxa" w:w="2880"/>
          </w:tcPr>
          <w:p>
            <w:r>
              <w:t>12.0000</w:t>
            </w:r>
          </w:p>
        </w:tc>
        <w:tc>
          <w:tcPr>
            <w:tcW w:type="dxa" w:w="2880"/>
          </w:tcPr>
          <w:p>
            <w:r>
              <w:t>PFE</w:t>
            </w:r>
          </w:p>
        </w:tc>
        <w:tc>
          <w:tcPr>
            <w:tcW w:type="dxa" w:w="2880"/>
          </w:tcPr>
          <w:p>
            <w:r>
              <w:t>0.1003</w:t>
            </w:r>
          </w:p>
        </w:tc>
      </w:tr>
      <w:tr>
        <w:tc>
          <w:tcPr>
            <w:tcW w:type="dxa" w:w="2880"/>
          </w:tcPr>
          <w:p>
            <w:r>
              <w:t>2.0000</w:t>
            </w:r>
          </w:p>
        </w:tc>
        <w:tc>
          <w:tcPr>
            <w:tcW w:type="dxa" w:w="2880"/>
          </w:tcPr>
          <w:p>
            <w:r>
              <w:t>ALB</w:t>
            </w:r>
          </w:p>
        </w:tc>
        <w:tc>
          <w:tcPr>
            <w:tcW w:type="dxa" w:w="2880"/>
          </w:tcPr>
          <w:p>
            <w:r>
              <w:t>0.0972</w:t>
            </w:r>
          </w:p>
        </w:tc>
      </w:tr>
      <w:tr>
        <w:tc>
          <w:tcPr>
            <w:tcW w:type="dxa" w:w="2880"/>
          </w:tcPr>
          <w:p>
            <w:r>
              <w:t>1.0000</w:t>
            </w:r>
          </w:p>
        </w:tc>
        <w:tc>
          <w:tcPr>
            <w:tcW w:type="dxa" w:w="2880"/>
          </w:tcPr>
          <w:p>
            <w:r>
              <w:t>ADM.L</w:t>
            </w:r>
          </w:p>
        </w:tc>
        <w:tc>
          <w:tcPr>
            <w:tcW w:type="dxa" w:w="2880"/>
          </w:tcPr>
          <w:p>
            <w:r>
              <w:t>0.0475</w:t>
            </w:r>
          </w:p>
        </w:tc>
      </w:tr>
      <w:tr>
        <w:tc>
          <w:tcPr>
            <w:tcW w:type="dxa" w:w="2880"/>
          </w:tcPr>
          <w:p>
            <w:r>
              <w:t>16.0000</w:t>
            </w:r>
          </w:p>
        </w:tc>
        <w:tc>
          <w:tcPr>
            <w:tcW w:type="dxa" w:w="2880"/>
          </w:tcPr>
          <w:p>
            <w:r>
              <w:t>VOW3.DE</w:t>
            </w:r>
          </w:p>
        </w:tc>
        <w:tc>
          <w:tcPr>
            <w:tcW w:type="dxa" w:w="2880"/>
          </w:tcPr>
          <w:p>
            <w:r>
              <w:t>0.0358</w:t>
            </w:r>
          </w:p>
        </w:tc>
      </w:tr>
      <w:tr>
        <w:tc>
          <w:tcPr>
            <w:tcW w:type="dxa" w:w="2880"/>
          </w:tcPr>
          <w:p>
            <w:r>
              <w:t>13.0000</w:t>
            </w:r>
          </w:p>
        </w:tc>
        <w:tc>
          <w:tcPr>
            <w:tcW w:type="dxa" w:w="2880"/>
          </w:tcPr>
          <w:p>
            <w:r>
              <w:t>SHEL.L</w:t>
            </w:r>
          </w:p>
        </w:tc>
        <w:tc>
          <w:tcPr>
            <w:tcW w:type="dxa" w:w="2880"/>
          </w:tcPr>
          <w:p>
            <w:r>
              <w:t>0.0214</w:t>
            </w:r>
          </w:p>
        </w:tc>
      </w:tr>
      <w:tr>
        <w:tc>
          <w:tcPr>
            <w:tcW w:type="dxa" w:w="2880"/>
          </w:tcPr>
          <w:p>
            <w:r>
              <w:t>4.0000</w:t>
            </w:r>
          </w:p>
        </w:tc>
        <w:tc>
          <w:tcPr>
            <w:tcW w:type="dxa" w:w="2880"/>
          </w:tcPr>
          <w:p>
            <w:r>
              <w:t>BHP.L</w:t>
            </w:r>
          </w:p>
        </w:tc>
        <w:tc>
          <w:tcPr>
            <w:tcW w:type="dxa" w:w="2880"/>
          </w:tcPr>
          <w:p>
            <w:r>
              <w:t>0.0166</w:t>
            </w:r>
          </w:p>
        </w:tc>
      </w:tr>
    </w:tbl>
    <w:p/>
    <w:p>
      <w:pPr>
        <w:pStyle w:val="Heading2"/>
      </w:pPr>
      <w:r>
        <w:t>Drawdown Table (Last 15 rows)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Wealth</w:t>
            </w:r>
          </w:p>
        </w:tc>
        <w:tc>
          <w:tcPr>
            <w:tcW w:type="dxa" w:w="1728"/>
          </w:tcPr>
          <w:p>
            <w:r>
              <w:t>Peaks</w:t>
            </w:r>
          </w:p>
        </w:tc>
        <w:tc>
          <w:tcPr>
            <w:tcW w:type="dxa" w:w="1728"/>
          </w:tcPr>
          <w:p>
            <w:r>
              <w:t>Drawdown</w:t>
            </w:r>
          </w:p>
        </w:tc>
      </w:tr>
      <w:tr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2020-03-23</w:t>
            </w:r>
          </w:p>
        </w:tc>
        <w:tc>
          <w:tcPr>
            <w:tcW w:type="dxa" w:w="1728"/>
          </w:tcPr>
          <w:p>
            <w:r>
              <w:t>2411.0010</w:t>
            </w:r>
          </w:p>
        </w:tc>
        <w:tc>
          <w:tcPr>
            <w:tcW w:type="dxa" w:w="1728"/>
          </w:tcPr>
          <w:p>
            <w:r>
              <w:t>3440.1205</w:t>
            </w:r>
          </w:p>
        </w:tc>
        <w:tc>
          <w:tcPr>
            <w:tcW w:type="dxa" w:w="1728"/>
          </w:tcPr>
          <w:p>
            <w:r>
              <w:t>-0.2992</w:t>
            </w:r>
          </w:p>
        </w:tc>
      </w:tr>
      <w:tr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2020-03-16</w:t>
            </w:r>
          </w:p>
        </w:tc>
        <w:tc>
          <w:tcPr>
            <w:tcW w:type="dxa" w:w="1728"/>
          </w:tcPr>
          <w:p>
            <w:r>
              <w:t>2468.0446</w:t>
            </w:r>
          </w:p>
        </w:tc>
        <w:tc>
          <w:tcPr>
            <w:tcW w:type="dxa" w:w="1728"/>
          </w:tcPr>
          <w:p>
            <w:r>
              <w:t>3440.1205</w:t>
            </w:r>
          </w:p>
        </w:tc>
        <w:tc>
          <w:tcPr>
            <w:tcW w:type="dxa" w:w="1728"/>
          </w:tcPr>
          <w:p>
            <w:r>
              <w:t>-0.2826</w:t>
            </w:r>
          </w:p>
        </w:tc>
      </w:tr>
      <w:tr>
        <w:tc>
          <w:tcPr>
            <w:tcW w:type="dxa" w:w="1728"/>
          </w:tcPr>
          <w:p>
            <w:r>
              <w:t>2.0000</w:t>
            </w:r>
          </w:p>
        </w:tc>
        <w:tc>
          <w:tcPr>
            <w:tcW w:type="dxa" w:w="1728"/>
          </w:tcPr>
          <w:p>
            <w:r>
              <w:t>2020-03-20</w:t>
            </w:r>
          </w:p>
        </w:tc>
        <w:tc>
          <w:tcPr>
            <w:tcW w:type="dxa" w:w="1728"/>
          </w:tcPr>
          <w:p>
            <w:r>
              <w:t>2470.9904</w:t>
            </w:r>
          </w:p>
        </w:tc>
        <w:tc>
          <w:tcPr>
            <w:tcW w:type="dxa" w:w="1728"/>
          </w:tcPr>
          <w:p>
            <w:r>
              <w:t>3440.1205</w:t>
            </w:r>
          </w:p>
        </w:tc>
        <w:tc>
          <w:tcPr>
            <w:tcW w:type="dxa" w:w="1728"/>
          </w:tcPr>
          <w:p>
            <w:r>
              <w:t>-0.2817</w:t>
            </w:r>
          </w:p>
        </w:tc>
      </w:tr>
      <w:tr>
        <w:tc>
          <w:tcPr>
            <w:tcW w:type="dxa" w:w="1728"/>
          </w:tcPr>
          <w:p>
            <w:r>
              <w:t>3.0000</w:t>
            </w:r>
          </w:p>
        </w:tc>
        <w:tc>
          <w:tcPr>
            <w:tcW w:type="dxa" w:w="1728"/>
          </w:tcPr>
          <w:p>
            <w:r>
              <w:t>2020-03-18</w:t>
            </w:r>
          </w:p>
        </w:tc>
        <w:tc>
          <w:tcPr>
            <w:tcW w:type="dxa" w:w="1728"/>
          </w:tcPr>
          <w:p>
            <w:r>
              <w:t>2477.7971</w:t>
            </w:r>
          </w:p>
        </w:tc>
        <w:tc>
          <w:tcPr>
            <w:tcW w:type="dxa" w:w="1728"/>
          </w:tcPr>
          <w:p>
            <w:r>
              <w:t>3440.1205</w:t>
            </w:r>
          </w:p>
        </w:tc>
        <w:tc>
          <w:tcPr>
            <w:tcW w:type="dxa" w:w="1728"/>
          </w:tcPr>
          <w:p>
            <w:r>
              <w:t>-0.2797</w:t>
            </w:r>
          </w:p>
        </w:tc>
      </w:tr>
      <w:tr>
        <w:tc>
          <w:tcPr>
            <w:tcW w:type="dxa" w:w="1728"/>
          </w:tcPr>
          <w:p>
            <w:r>
              <w:t>4.0000</w:t>
            </w:r>
          </w:p>
        </w:tc>
        <w:tc>
          <w:tcPr>
            <w:tcW w:type="dxa" w:w="1728"/>
          </w:tcPr>
          <w:p>
            <w:r>
              <w:t>2020-03-19</w:t>
            </w:r>
          </w:p>
        </w:tc>
        <w:tc>
          <w:tcPr>
            <w:tcW w:type="dxa" w:w="1728"/>
          </w:tcPr>
          <w:p>
            <w:r>
              <w:t>2506.7556</w:t>
            </w:r>
          </w:p>
        </w:tc>
        <w:tc>
          <w:tcPr>
            <w:tcW w:type="dxa" w:w="1728"/>
          </w:tcPr>
          <w:p>
            <w:r>
              <w:t>3440.1205</w:t>
            </w:r>
          </w:p>
        </w:tc>
        <w:tc>
          <w:tcPr>
            <w:tcW w:type="dxa" w:w="1728"/>
          </w:tcPr>
          <w:p>
            <w:r>
              <w:t>-0.2713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