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900b9a17126e92ddff803ea35a5c1773dca659"/>
    <w:p>
      <w:pPr>
        <w:pStyle w:val="Heading1"/>
      </w:pPr>
      <w:r>
        <w:t xml:space="preserve">Guide-vs-science color test: a real but sub-dominant chromatic contribution</w:t>
      </w:r>
    </w:p>
    <w:p>
      <w:pPr>
        <w:pStyle w:val="FirstParagraph"/>
      </w:pPr>
      <w:r>
        <w:t xml:space="preserve">K. Honscheid (OSU) with Claude (NERSC + Mac sessions, collaborating via</w:t>
      </w:r>
      <w:r>
        <w:t xml:space="preserve"> </w:t>
      </w:r>
      <w:r>
        <w:rPr>
          <w:rStyle w:val="VerbatimChar"/>
        </w:rPr>
        <w:t xml:space="preserve">from_nersc_to_mac.md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from_mac_to_nersc.md</w:t>
      </w:r>
      <w:r>
        <w:t xml:space="preserve">) · 2026-08-05</w:t>
      </w:r>
    </w:p>
    <w:p>
      <w:pPr>
        <w:pStyle w:val="BodyText"/>
      </w:pPr>
      <w:r>
        <w:t xml:space="preserve">Direct follow-up to</w:t>
      </w:r>
      <w:r>
        <w:t xml:space="preserve"> </w:t>
      </w:r>
      <w:r>
        <w:rPr>
          <w:rStyle w:val="VerbatimChar"/>
        </w:rPr>
        <w:t xml:space="preserve">docs/TEST6_GUIDE_STAR_RESIDUAL_REPORT.md</w:t>
      </w:r>
      <w:r>
        <w:t xml:space="preserve">. This document reports a completed</w:t>
      </w:r>
      <w:r>
        <w:t xml:space="preserve"> </w:t>
      </w:r>
      <w:r>
        <w:t xml:space="preserve">analysis; it does not modify that report or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Motivation</w:t>
      </w:r>
      <w:r>
        <w:t xml:space="preserve">: reading the actual guider control-loop code (Mac session) established that the guider</w:t>
      </w:r>
      <w:r>
        <w:t xml:space="preserve"> </w:t>
      </w:r>
      <w:r>
        <w:t xml:space="preserve">only ever nulls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guide-star offset — a pure boresight correction, nothing field-dependent.</w:t>
      </w:r>
      <w:r>
        <w:t xml:space="preserve"> </w:t>
      </w:r>
      <w:r>
        <w:t xml:space="preserve">Consequence: any refraction error</w:t>
      </w:r>
      <w:r>
        <w:t xml:space="preserve"> </w:t>
      </w:r>
      <w:r>
        <w:rPr>
          <w:i/>
          <w:iCs/>
        </w:rPr>
        <w:t xml:space="preserve">common</w:t>
      </w:r>
      <w:r>
        <w:t xml:space="preserve"> </w:t>
      </w:r>
      <w:r>
        <w:t xml:space="preserve">to both the guide stars and the science field is corrected</w:t>
      </w:r>
      <w:r>
        <w:t xml:space="preserve"> </w:t>
      </w:r>
      <w:r>
        <w:t xml:space="preserve">away before it reaches the fibers; only a genuine</w:t>
      </w:r>
      <w:r>
        <w:t xml:space="preserve"> </w:t>
      </w:r>
      <w:r>
        <w:rPr>
          <w:b/>
          <w:bCs/>
        </w:rPr>
        <w:t xml:space="preserve">guide≠science difference</w:t>
      </w:r>
      <w:r>
        <w:t xml:space="preserve"> </w:t>
      </w:r>
      <w:r>
        <w:t xml:space="preserve">in the uniform term can</w:t>
      </w:r>
      <w:r>
        <w:t xml:space="preserve"> </w:t>
      </w:r>
      <w:r>
        <w:t xml:space="preserve">survive as D_rot.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natural candidate</w:t>
      </w:r>
      <w:r>
        <w:t xml:space="preserve">: standard stars (used for science flux calibration) are known to be bluer</w:t>
      </w:r>
      <w:r>
        <w:t xml:space="preserve"> </w:t>
      </w:r>
      <w:r>
        <w:t xml:space="preserve">than guide stars. Bluer light refracts more; if the guide loop nulls the (redder) guide-star field, the</w:t>
      </w:r>
      <w:r>
        <w:t xml:space="preserve"> </w:t>
      </w:r>
      <w:r>
        <w:t xml:space="preserve">(bluer) science light would carry a residual differential chromatic refraction (DCR) the loop never</w:t>
      </w:r>
      <w:r>
        <w:t xml:space="preserve"> </w:t>
      </w:r>
      <w:r>
        <w:t xml:space="preserve">removes — a uniform, static, zenith-tied science-field offset, exactly D_rot’s signature.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Tested it in four steps. Result: the color difference is real and large, but it does not explain</w:t>
      </w:r>
      <w:r>
        <w:rPr>
          <w:b/>
          <w:bCs/>
        </w:rPr>
        <w:t xml:space="preserve"> </w:t>
      </w:r>
      <w:r>
        <w:rPr>
          <w:b/>
          <w:bCs/>
        </w:rPr>
        <w:t xml:space="preserve">D_rot’s full magnitude, and does not show up as a detectable within-sample color dependence.</w:t>
      </w:r>
      <w:r>
        <w:t xml:space="preserve"> </w:t>
      </w:r>
      <w:r>
        <w:t xml:space="preserve">The</w:t>
      </w:r>
      <w:r>
        <w:t xml:space="preserve"> </w:t>
      </w:r>
      <w:r>
        <w:t xml:space="preserve">most defensible read is</w:t>
      </w:r>
      <w:r>
        <w:t xml:space="preserve"> </w:t>
      </w:r>
      <w:r>
        <w:rPr>
          <w:b/>
          <w:bCs/>
        </w:rPr>
        <w:t xml:space="preserve">chromatic DCR is a real, physically-understood, but sub-dominant contributor</w:t>
      </w:r>
      <w:r>
        <w:rPr>
          <w:b/>
          <w:bCs/>
        </w:rPr>
        <w:t xml:space="preserve"> </w:t>
      </w:r>
      <w:r>
        <w:rPr>
          <w:b/>
          <w:bCs/>
        </w:rPr>
        <w:t xml:space="preserve">to D_rot — not its dominant source.</w:t>
      </w:r>
    </w:p>
    <w:p>
      <w:r>
        <w:pict>
          <v:rect style="width:0;height:1.5pt" o:hralign="center" o:hrstd="t" o:hr="t"/>
        </w:pict>
      </w:r>
    </w:p>
    <w:bookmarkEnd w:id="9"/>
    <w:bookmarkStart w:id="10" w:name="Xf8f2224c701c6322bb2cb167fccf51def022121"/>
    <w:p>
      <w:pPr>
        <w:pStyle w:val="Heading2"/>
      </w:pPr>
      <w:r>
        <w:t xml:space="preserve">Motivation: why this is the natural next hypothesis</w:t>
      </w:r>
    </w:p>
    <w:p>
      <w:pPr>
        <w:pStyle w:val="FirstParagraph"/>
      </w:pPr>
      <w:r>
        <w:rPr>
          <w:rStyle w:val="VerbatimChar"/>
        </w:rPr>
        <w:t xml:space="preserve">docs/TEST6_GUIDE_STAR_RESIDUAL_REPORT.md</w:t>
      </w:r>
      <w:r>
        <w:t xml:space="preserve"> </w:t>
      </w:r>
      <w:r>
        <w:t xml:space="preserve">found a real, ~100σ, zenith-tied, tan(z)-growing residual in</w:t>
      </w:r>
      <w:r>
        <w:t xml:space="preserve"> </w:t>
      </w:r>
      <w:r>
        <w:t xml:space="preserve">the guide-star astrometric solve (~0.5-0.9″), decisively larger than D_rot (~0.11-0.22″), and ruled out</w:t>
      </w:r>
      <w:r>
        <w:t xml:space="preserve"> </w:t>
      </w:r>
      <w:r>
        <w:t xml:space="preserve">ordinary sampling incompleteness on the known achromatic DAR model as the cause.</w:t>
      </w:r>
    </w:p>
    <w:p>
      <w:pPr>
        <w:pStyle w:val="BodyText"/>
      </w:pPr>
      <w:r>
        <w:t xml:space="preserve">The resolving insight came from reading the actual guider control-loop code: for DESI, the guider is</w:t>
      </w:r>
      <w:r>
        <w:t xml:space="preserve"> </w:t>
      </w:r>
      <w:r>
        <w:rPr>
          <w:i/>
          <w:iCs/>
        </w:rPr>
        <w:t xml:space="preserve">handed</w:t>
      </w:r>
      <w:r>
        <w:t xml:space="preserve"> </w:t>
      </w:r>
      <w:r>
        <w:t xml:space="preserve">the expected guide-star positions by PlateMaker (it cannot solve astrometry itself); each frame</w:t>
      </w:r>
      <w:r>
        <w:t xml:space="preserve"> </w:t>
      </w:r>
      <w:r>
        <w:t xml:space="preserve">it averages the per-GFA errors into a single combined centroid and sends a boresight-only correction to</w:t>
      </w:r>
      <w:r>
        <w:t xml:space="preserve"> </w:t>
      </w:r>
      <w:r>
        <w:t xml:space="preserve">the TCS.</w:t>
      </w:r>
      <w:r>
        <w:t xml:space="preserve"> </w:t>
      </w:r>
      <w:r>
        <w:rPr>
          <w:b/>
          <w:bCs/>
        </w:rPr>
        <w:t xml:space="preserve">It does exactly one thing — nulls the mean guide-star offset.</w:t>
      </w:r>
      <w:r>
        <w:t xml:space="preserve"> </w:t>
      </w:r>
      <w:r>
        <w:t xml:space="preserve">It cannot correct anything</w:t>
      </w:r>
      <w:r>
        <w:t xml:space="preserve"> </w:t>
      </w:r>
      <w:r>
        <w:t xml:space="preserve">field-dependent, and it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correct anything common to guide and science equally. This single fact</w:t>
      </w:r>
      <w:r>
        <w:t xml:space="preserve"> </w:t>
      </w:r>
      <w:r>
        <w:t xml:space="preserve">explains two results at once:</w:t>
      </w:r>
    </w:p>
    <w:p>
      <w:pPr>
        <w:pStyle w:val="Compact"/>
        <w:numPr>
          <w:ilvl w:val="0"/>
          <w:numId w:val="1002"/>
        </w:numPr>
      </w:pPr>
      <w:r>
        <w:t xml:space="preserve">Test 6’s own internal quadrupole cross-check (a follow-up decomposition of the guide-star residual</w:t>
      </w:r>
      <w:r>
        <w:t xml:space="preserve"> </w:t>
      </w:r>
      <w:r>
        <w:t xml:space="preserve">into rotating vs. fixed shear) independently matched the already-established ΔG field-differential</w:t>
      </w:r>
      <w:r>
        <w:t xml:space="preserve"> </w:t>
      </w:r>
      <w:r>
        <w:t xml:space="preserve">compression (0.102″ vs 0.11″ at airmass~1.5; 0.168″ vs 0.16″ at airmass~1.7) — confirming guide stars</w:t>
      </w:r>
      <w:r>
        <w:t xml:space="preserve"> </w:t>
      </w:r>
      <w:r>
        <w:t xml:space="preserve">and science fibers see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common DAR field. A common field’s</w:t>
      </w:r>
      <w:r>
        <w:t xml:space="preserve"> </w:t>
      </w:r>
      <w:r>
        <w:rPr>
          <w:i/>
          <w:iCs/>
        </w:rPr>
        <w:t xml:space="preserve">quadrupole</w:t>
      </w:r>
      <w:r>
        <w:t xml:space="preserve"> </w:t>
      </w:r>
      <w:r>
        <w:t xml:space="preserve">survives the</w:t>
      </w:r>
      <w:r>
        <w:t xml:space="preserve"> </w:t>
      </w:r>
      <w:r>
        <w:t xml:space="preserve">boresight-only loop; a common field’s</w:t>
      </w:r>
      <w:r>
        <w:t xml:space="preserve"> </w:t>
      </w:r>
      <w:r>
        <w:rPr>
          <w:i/>
          <w:iCs/>
        </w:rPr>
        <w:t xml:space="preserve">uniform</w:t>
      </w:r>
      <w:r>
        <w:t xml:space="preserve"> </w:t>
      </w:r>
      <w:r>
        <w:t xml:space="preserve">(dipole) term does not.</w:t>
      </w:r>
    </w:p>
    <w:p>
      <w:pPr>
        <w:pStyle w:val="Compact"/>
        <w:numPr>
          <w:ilvl w:val="0"/>
          <w:numId w:val="1002"/>
        </w:numPr>
      </w:pPr>
      <w:r>
        <w:t xml:space="preserve">D_rot being ~3-4× smaller than Test 6’s full coherent residual is therefore not a discrepancy to</w:t>
      </w:r>
      <w:r>
        <w:t xml:space="preserve"> </w:t>
      </w:r>
      <w:r>
        <w:t xml:space="preserve">explain away — it is</w:t>
      </w:r>
      <w:r>
        <w:t xml:space="preserve"> </w:t>
      </w:r>
      <w:r>
        <w:rPr>
          <w:i/>
          <w:iCs/>
        </w:rPr>
        <w:t xml:space="preserve">expected</w:t>
      </w:r>
      <w:r>
        <w:t xml:space="preserve">: D_rot is only the uncorrectable guide≠science</w:t>
      </w:r>
      <w:r>
        <w:t xml:space="preserve"> </w:t>
      </w:r>
      <w:r>
        <w:rPr>
          <w:b/>
          <w:bCs/>
        </w:rPr>
        <w:t xml:space="preserve">differential</w:t>
      </w:r>
      <w:r>
        <w:t xml:space="preserve"> </w:t>
      </w:r>
      <w:r>
        <w:t xml:space="preserve">in the</w:t>
      </w:r>
      <w:r>
        <w:t xml:space="preserve"> </w:t>
      </w:r>
      <w:r>
        <w:t xml:space="preserve">uniform term, while Test 6’s full residual is the common-mode refraction error the loop mostly absorbs</w:t>
      </w:r>
      <w:r>
        <w:t xml:space="preserve"> </w:t>
      </w:r>
      <w:r>
        <w:t xml:space="preserve">before it reaches the fibers.</w:t>
      </w:r>
    </w:p>
    <w:p>
      <w:pPr>
        <w:pStyle w:val="FirstParagraph"/>
      </w:pPr>
      <w:r>
        <w:t xml:space="preserve">This reframes the question precisely:</w:t>
      </w:r>
      <w:r>
        <w:t xml:space="preserve"> </w:t>
      </w:r>
      <w:r>
        <w:rPr>
          <w:b/>
          <w:bCs/>
        </w:rPr>
        <w:t xml:space="preserve">D_rot requires a genuine guide≠science difference in the uniform</w:t>
      </w:r>
      <w:r>
        <w:rPr>
          <w:b/>
          <w:bCs/>
        </w:rPr>
        <w:t xml:space="preserve"> </w:t>
      </w:r>
      <w:r>
        <w:rPr>
          <w:b/>
          <w:bCs/>
        </w:rPr>
        <w:t xml:space="preserve">refraction term.</w:t>
      </w:r>
      <w:r>
        <w:t xml:space="preserve"> </w:t>
      </w:r>
      <w:r>
        <w:t xml:space="preserve">The natural candidate is a systematic effective-wavelength difference between the</w:t>
      </w:r>
      <w:r>
        <w:t xml:space="preserve"> </w:t>
      </w:r>
      <w:r>
        <w:t xml:space="preserve">r-band GFA guide solution and the science-standard-star population — i.e., exactly the mechanism this</w:t>
      </w:r>
      <w:r>
        <w:t xml:space="preserve"> </w:t>
      </w:r>
      <w:r>
        <w:t xml:space="preserve">report tests.</w:t>
      </w:r>
    </w:p>
    <w:p>
      <w:r>
        <w:pict>
          <v:rect style="width:0;height:1.5pt" o:hralign="center" o:hrstd="t" o:hr="t"/>
        </w:pict>
      </w:r>
    </w:p>
    <w:bookmarkEnd w:id="10"/>
    <w:bookmarkStart w:id="11" w:name="step-0--feasibility"/>
    <w:p>
      <w:pPr>
        <w:pStyle w:val="Heading2"/>
      </w:pPr>
      <w:r>
        <w:t xml:space="preserve">Step 0 — feasibility</w:t>
      </w:r>
    </w:p>
    <w:p>
      <w:pPr>
        <w:pStyle w:val="FirstParagraph"/>
      </w:pPr>
      <w:r>
        <w:t xml:space="preserve">Both populations are reachable, more cheaply than expected: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stars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Exposure.calibstars</w:t>
      </w:r>
      <w:r>
        <w:t xml:space="preserve"> </w:t>
      </w:r>
      <w:r>
        <w:t xml:space="preserve">already carries</w:t>
      </w:r>
      <w:r>
        <w:t xml:space="preserve"> </w:t>
      </w:r>
      <w:r>
        <w:rPr>
          <w:rStyle w:val="VerbatimChar"/>
        </w:rPr>
        <w:t xml:space="preserve">MODEL_COLOR</w:t>
      </w:r>
      <w:r>
        <w:t xml:space="preserve">/</w:t>
      </w:r>
      <w:r>
        <w:rPr>
          <w:rStyle w:val="VerbatimChar"/>
        </w:rPr>
        <w:t xml:space="preserve">DATA_COLOR</w:t>
      </w:r>
      <w:r>
        <w:t xml:space="preserve"> </w:t>
      </w:r>
      <w:r>
        <w:t xml:space="preserve">(a G−R-style</w:t>
      </w:r>
      <w:r>
        <w:t xml:space="preserve"> </w:t>
      </w:r>
      <w:r>
        <w:t xml:space="preserve">color) directly — no extra pull needed.</w:t>
      </w:r>
      <w:r>
        <w:t xml:space="preserve"> </w:t>
      </w:r>
      <w:r>
        <w:rPr>
          <w:rStyle w:val="VerbatimChar"/>
        </w:rPr>
        <w:t xml:space="preserve">TARGET_RA</w:t>
      </w:r>
      <w:r>
        <w:t xml:space="preserve">/</w:t>
      </w:r>
      <w:r>
        <w:rPr>
          <w:rStyle w:val="VerbatimChar"/>
        </w:rPr>
        <w:t xml:space="preserve">TARGET_DEC</w:t>
      </w:r>
      <w:r>
        <w:t xml:space="preserve"> </w:t>
      </w:r>
      <w:r>
        <w:t xml:space="preserve">joins in cleanly via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 </w:t>
      </w:r>
      <w:r>
        <w:t xml:space="preserve">(validated 132/132 matched in a test exposure).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Guide stars</w:t>
      </w:r>
      <w:r>
        <w:t xml:space="preserve">: already available from</w:t>
      </w:r>
      <w:r>
        <w:t xml:space="preserve"> </w:t>
      </w:r>
      <w:r>
        <w:rPr>
          <w:rStyle w:val="VerbatimChar"/>
        </w:rPr>
        <w:t xml:space="preserve">docs/TEST6_GUIDE_STAR_RESIDUAL_REPORT.md</w:t>
      </w:r>
      <w:r>
        <w:t xml:space="preserve">’s color follow-up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data/dar_pmgstars_color.parquet</w:t>
      </w:r>
      <w:r>
        <w:t xml:space="preserve">), cross-matched to Gaia DR3 for BP−RP.</w:t>
      </w:r>
    </w:p>
    <w:p>
      <w:pPr>
        <w:pStyle w:val="FirstParagraph"/>
      </w:pPr>
      <w:r>
        <w:t xml:space="preserve">Harvested the full standard-star population:</w:t>
      </w:r>
      <w:r>
        <w:t xml:space="preserve"> </w:t>
      </w:r>
      <w:r>
        <w:rPr>
          <w:b/>
          <w:bCs/>
        </w:rPr>
        <w:t xml:space="preserve">2,570,324 star rows, 24,630 exposures</w:t>
      </w:r>
      <w:r>
        <w:t xml:space="preserve"> </w:t>
      </w:r>
      <w:r>
        <w:t xml:space="preserve">— matches the</w:t>
      </w:r>
      <w:r>
        <w:t xml:space="preserve"> </w:t>
      </w:r>
      <w:r>
        <w:t xml:space="preserve">original committed D_rot dataset exactly (</w:t>
      </w:r>
      <w:r>
        <w:rPr>
          <w:rStyle w:val="VerbatimChar"/>
        </w:rPr>
        <w:t xml:space="preserve">analysis/dar_dipole/color_test_harvest.py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data/dar_standardstar_color.parquet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f18471af96f533225ed9d729f03f2607cba7cce"/>
    <w:p>
      <w:pPr>
        <w:pStyle w:val="Heading2"/>
      </w:pPr>
      <w:r>
        <w:t xml:space="preserve">Step A — the population color offset (decisive confirmation of the premise)</w:t>
      </w:r>
    </w:p>
    <w:p>
      <w:pPr>
        <w:pStyle w:val="FirstParagraph"/>
      </w:pPr>
      <w:r>
        <w:t xml:space="preserve">Cross-matched a 30,000-star random sample of unique standard stars to Gaia. First attempt used the same</w:t>
      </w:r>
      <w:r>
        <w:t xml:space="preserve"> </w:t>
      </w:r>
      <w:r>
        <w:t xml:space="preserve">“lightweight”</w:t>
      </w:r>
      <w:r>
        <w:t xml:space="preserve"> </w:t>
      </w:r>
      <w:r>
        <w:t xml:space="preserve">Gaia catalog the guide-star test used, and only matched 7% (2090/30000) — vs. guide stars’</w:t>
      </w:r>
      <w:r>
        <w:t xml:space="preserve"> </w:t>
      </w:r>
      <w:r>
        <w:t xml:space="preserve">63.5% on that same catalog. That catalog turns out to be a</w:t>
      </w:r>
      <w:r>
        <w:t xml:space="preserve"> </w:t>
      </w:r>
      <w:r>
        <w:rPr>
          <w:b/>
          <w:bCs/>
        </w:rPr>
        <w:t xml:space="preserve">bright-star-only subset</w:t>
      </w:r>
      <w:r>
        <w:t xml:space="preserve">; standard stars</w:t>
      </w:r>
      <w:r>
        <w:t xml:space="preserve"> </w:t>
      </w:r>
      <w:r>
        <w:t xml:space="preserve">run considerably fainter than guide stars. Switched to the full-depth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/global/cfs/cdirs/desi/target/gaia_dr3/healpix/</w:t>
      </w:r>
      <w:r>
        <w:t xml:space="preserve">, which has</w:t>
      </w:r>
      <w:r>
        <w:t xml:space="preserve"> </w:t>
      </w:r>
      <w:r>
        <w:rPr>
          <w:rStyle w:val="VerbatimChar"/>
        </w:rPr>
        <w:t xml:space="preserve">BP_RP</w:t>
      </w:r>
      <w:r>
        <w:t xml:space="preserve"> </w:t>
      </w:r>
      <w:r>
        <w:t xml:space="preserve">precomputed) —</w:t>
      </w:r>
      <w:r>
        <w:t xml:space="preserve"> </w:t>
      </w:r>
      <w:r>
        <w:rPr>
          <w:b/>
          <w:bCs/>
        </w:rPr>
        <w:t xml:space="preserve">99.997% matched</w:t>
      </w:r>
      <w:r>
        <w:t xml:space="preserve"> </w:t>
      </w:r>
      <w:r>
        <w:t xml:space="preserve">(29999/30000).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 BP−RP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stars</w:t>
            </w:r>
          </w:p>
        </w:tc>
        <w:tc>
          <w:tcPr/>
          <w:p>
            <w:pPr>
              <w:pStyle w:val="Compact"/>
            </w:pPr>
            <w:r>
              <w:t xml:space="preserve">0.7226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29999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stars</w:t>
            </w:r>
          </w:p>
        </w:tc>
        <w:tc>
          <w:tcPr/>
          <w:p>
            <w:pPr>
              <w:pStyle w:val="Compact"/>
            </w:pPr>
            <w:r>
              <w:t xml:space="preserve">1.1379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  <w:tc>
          <w:tcPr/>
          <w:p>
            <w:pPr>
              <w:pStyle w:val="Compact"/>
            </w:pPr>
            <w:r>
              <w:t xml:space="preserve">33073</w:t>
            </w:r>
          </w:p>
        </w:tc>
      </w:tr>
    </w:tbl>
    <w:p>
      <w:pPr>
        <w:pStyle w:val="BodyText"/>
      </w:pPr>
      <w:r>
        <w:rPr>
          <w:b/>
          <w:bCs/>
        </w:rPr>
        <w:t xml:space="preserve">Δ(BP−RP) = standard − guide = −0.415</w:t>
      </w:r>
      <w:r>
        <w:t xml:space="preserve">, overwhelmingly significant given the tiny standard errors —</w:t>
      </w:r>
      <w:r>
        <w:t xml:space="preserve"> </w:t>
      </w:r>
      <w:r>
        <w:t xml:space="preserve">standard stars are decisively, robustly bluer than guide stars, confirmed on the same photometric system</w:t>
      </w:r>
      <w:r>
        <w:t xml:space="preserve"> </w:t>
      </w:r>
      <w:r>
        <w:t xml:space="preserve">for both populations. (A useful byproduct: MODEL_COLOR correlates well with Gaia BP−RP for standard</w:t>
      </w:r>
      <w:r>
        <w:t xml:space="preserve"> </w:t>
      </w:r>
      <w:r>
        <w:t xml:space="preserve">stars, r=0.784, BP−RP≈0.886·MODEL_COLOR+0.436 — available if a converted color proves useful elsewhere.)</w:t>
      </w:r>
    </w:p>
    <w:p>
      <w:r>
        <w:pict>
          <v:rect style="width:0;height:1.5pt" o:hralign="center" o:hrstd="t" o:hr="t"/>
        </w:pict>
      </w:r>
    </w:p>
    <w:bookmarkEnd w:id="12"/>
    <w:bookmarkStart w:id="14" w:name="X46cab1b034ce72a44fedf76433d2c8e8dd58489"/>
    <w:p>
      <w:pPr>
        <w:pStyle w:val="Heading2"/>
      </w:pPr>
      <w:r>
        <w:t xml:space="preserve">Step B — does the color difference predict D_rot’s magnitude?</w:t>
      </w:r>
    </w:p>
    <w:p>
      <w:pPr>
        <w:pStyle w:val="FirstParagraph"/>
      </w:pPr>
      <w:r>
        <w:t xml:space="preserve">Neither DESI-9097 (Joyce) nor DESI-0309 (Lampton) was available on NERSC to check against directly, so</w:t>
      </w:r>
      <w:r>
        <w:t xml:space="preserve"> </w:t>
      </w:r>
      <w:r>
        <w:t xml:space="preserve">the standard Filippenko/Edlen air-refractivity formula was implemented directly rather than guessing at</w:t>
      </w:r>
      <w:r>
        <w:t xml:space="preserve"> </w:t>
      </w:r>
      <w:r>
        <w:t xml:space="preserve">report-specific numbers. The refraction constant (45″, production</w:t>
      </w:r>
      <w:r>
        <w:t xml:space="preserve"> </w:t>
      </w:r>
      <w:r>
        <w:rPr>
          <w:rStyle w:val="VerbatimChar"/>
        </w:rPr>
        <w:t xml:space="preserve">desi.par</w:t>
      </w:r>
      <w:r>
        <w:t xml:space="preserve">) was taken as calibrated at</w:t>
      </w:r>
      <w:r>
        <w:t xml:space="preserve"> </w:t>
      </w:r>
      <w:r>
        <w:t xml:space="preserve">a nominal r-band effective wavelength (~6231 Å); the predicted differential refraction between the two</w:t>
      </w:r>
      <w:r>
        <w:t xml:space="preserve"> </w:t>
      </w:r>
      <w:r>
        <w:t xml:space="preserve">populations’ effective wavelengths was computed via the ratio of refractive indices.</w:t>
      </w:r>
    </w:p>
    <w:p>
      <w:pPr>
        <w:pStyle w:val="BodyText"/>
      </w:pPr>
      <w:r>
        <w:t xml:space="preserve">The one genuinely soft input is</w:t>
      </w:r>
      <w:r>
        <w:t xml:space="preserve"> </w:t>
      </w:r>
      <w:r>
        <w:rPr>
          <w:b/>
          <w:bCs/>
        </w:rPr>
        <w:t xml:space="preserve">dλ_eff/d(color)</w:t>
      </w:r>
      <w:r>
        <w:t xml:space="preserve"> </w:t>
      </w:r>
      <w:r>
        <w:t xml:space="preserve">— how much a star’s effective wavelength shifts,</w:t>
      </w:r>
      <w:r>
        <w:t xml:space="preserve"> </w:t>
      </w:r>
      <w:r>
        <w:t xml:space="preserve">within a fixed bandpass, per unit broadband color. Rather than assume a single value, this was scanned</w:t>
      </w:r>
      <w:r>
        <w:t xml:space="preserve"> </w:t>
      </w:r>
      <w:r>
        <w:t xml:space="preserve">across a plausible range: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dλ/dcolor (Å per unit BP−RP)</w:t>
            </w:r>
          </w:p>
        </w:tc>
        <w:tc>
          <w:tcPr/>
          <w:p>
            <w:pPr>
              <w:pStyle w:val="Compact"/>
            </w:pPr>
            <w:r>
              <w:t xml:space="preserve">Δλ_eff (Å)</w:t>
            </w:r>
          </w:p>
        </w:tc>
        <w:tc>
          <w:tcPr/>
          <w:p>
            <w:pPr>
              <w:pStyle w:val="Compact"/>
            </w:pPr>
            <w:r>
              <w:t xml:space="preserve">predicted DCR</w:t>
            </w:r>
            <w:r>
              <w:t xml:space="preserve"> </w:t>
            </w:r>
            <w:r>
              <w:t xml:space="preserve">@am</w:t>
            </w:r>
            <w:r>
              <w:t xml:space="preserve">=1.4</w:t>
            </w:r>
          </w:p>
        </w:tc>
        <w:tc>
          <w:tcPr/>
          <w:p>
            <w:pPr>
              <w:pStyle w:val="Compact"/>
            </w:pPr>
            <w:r>
              <w:t xml:space="preserve">@am</w:t>
            </w:r>
            <w:r>
              <w:t xml:space="preserve">=1.8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41.5</w:t>
            </w:r>
          </w:p>
        </w:tc>
        <w:tc>
          <w:tcPr/>
          <w:p>
            <w:pPr>
              <w:pStyle w:val="Compact"/>
            </w:pPr>
            <w:r>
              <w:t xml:space="preserve">0.009″</w:t>
            </w:r>
          </w:p>
        </w:tc>
        <w:tc>
          <w:tcPr/>
          <w:p>
            <w:pPr>
              <w:pStyle w:val="Compact"/>
            </w:pPr>
            <w:r>
              <w:t xml:space="preserve">0.013″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83.0</w:t>
            </w:r>
          </w:p>
        </w:tc>
        <w:tc>
          <w:tcPr/>
          <w:p>
            <w:pPr>
              <w:pStyle w:val="Compact"/>
            </w:pPr>
            <w:r>
              <w:t xml:space="preserve">0.018″</w:t>
            </w:r>
          </w:p>
        </w:tc>
        <w:tc>
          <w:tcPr/>
          <w:p>
            <w:pPr>
              <w:pStyle w:val="Compact"/>
            </w:pPr>
            <w:r>
              <w:t xml:space="preserve">0.027″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124.5</w:t>
            </w:r>
          </w:p>
        </w:tc>
        <w:tc>
          <w:tcPr/>
          <w:p>
            <w:pPr>
              <w:pStyle w:val="Compact"/>
            </w:pPr>
            <w:r>
              <w:t xml:space="preserve">0.026″</w:t>
            </w:r>
          </w:p>
        </w:tc>
        <w:tc>
          <w:tcPr/>
          <w:p>
            <w:pPr>
              <w:pStyle w:val="Compact"/>
            </w:pPr>
            <w:r>
              <w:t xml:space="preserve">0.040″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166.0</w:t>
            </w:r>
          </w:p>
        </w:tc>
        <w:tc>
          <w:tcPr/>
          <w:p>
            <w:pPr>
              <w:pStyle w:val="Compact"/>
            </w:pPr>
            <w:r>
              <w:t xml:space="preserve">0.036″</w:t>
            </w:r>
          </w:p>
        </w:tc>
        <w:tc>
          <w:tcPr/>
          <w:p>
            <w:pPr>
              <w:pStyle w:val="Compact"/>
            </w:pPr>
            <w:r>
              <w:t xml:space="preserve">0.054″</w:t>
            </w:r>
          </w:p>
        </w:tc>
      </w:tr>
    </w:tbl>
    <w:p>
      <w:pPr>
        <w:pStyle w:val="BodyText"/>
      </w:pPr>
      <w:r>
        <w:t xml:space="preserve">Taken at face value, even the high end of this range falls short of D_rot’s target (0.11″/0.22″) by a</w:t>
      </w:r>
      <w:r>
        <w:t xml:space="preserve"> </w:t>
      </w:r>
      <w:r>
        <w:t xml:space="preserve">factor of ~3-6×.</w:t>
      </w:r>
    </w:p>
    <w:bookmarkStart w:id="13" w:name="Xbcf7400d41d8e1253c573b51fdae2c3a7dffc60"/>
    <w:p>
      <w:pPr>
        <w:pStyle w:val="Heading3"/>
      </w:pPr>
      <w:r>
        <w:t xml:space="preserve">Why the gap is expected, not a shortfall: all three relevant measurements are r-band-confined</w:t>
      </w:r>
    </w:p>
    <w:p>
      <w:pPr>
        <w:pStyle w:val="FirstParagraph"/>
      </w:pPr>
      <w:r>
        <w:t xml:space="preserve">This is the key piece that turns an unexplained numerical gap into an understood result. The full Gaia</w:t>
      </w:r>
      <w:r>
        <w:t xml:space="preserve"> </w:t>
      </w:r>
      <w:r>
        <w:t xml:space="preserve">BP−RP baseline spans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optical range (roughly 330-1050 nm), but none of the three quantities</w:t>
      </w:r>
      <w:r>
        <w:t xml:space="preserve"> </w:t>
      </w:r>
      <w:r>
        <w:t xml:space="preserve">actually being compared spans that range: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science measurement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RCALIBFRAC</w:t>
      </w:r>
      <w:r>
        <w:t xml:space="preserve">) is computed from r-band flux, 6000-7300 Å.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guide-star centroiding</w:t>
      </w:r>
      <w:r>
        <w:t xml:space="preserve"> </w:t>
      </w:r>
      <w:r>
        <w:t xml:space="preserve">happens through the GFA’s r-band filter — already established earlier</w:t>
      </w:r>
      <w:r>
        <w:t xml:space="preserve"> </w:t>
      </w:r>
      <w:r>
        <w:t xml:space="preserve">in this investigation (memory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, the original chromatic-closure reasoning)</w:t>
      </w:r>
      <w:r>
        <w:t xml:space="preserve"> </w:t>
      </w:r>
      <w:r>
        <w:t xml:space="preserve">as being in the same band as the science measurement.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fiber-placement wavelength</w:t>
      </w:r>
      <w:r>
        <w:t xml:space="preserve"> </w:t>
      </w:r>
      <w:r>
        <w:t xml:space="preserve">is, per input from Steve Kent, also effectively r-band.</w:t>
      </w:r>
    </w:p>
    <w:p>
      <w:pPr>
        <w:pStyle w:val="FirstParagraph"/>
      </w:pPr>
      <w:r>
        <w:t xml:space="preserve">Since all three are confined to the same ~1300 Å-wide r-band window, the Δλ_eff that actually matters for</w:t>
      </w:r>
      <w:r>
        <w:t xml:space="preserve"> </w:t>
      </w:r>
      <w:r>
        <w:t xml:space="preserve">this mechanism is not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BP−RP-implied spread — it’s the much narrower</w:t>
      </w:r>
      <w:r>
        <w:t xml:space="preserve"> </w:t>
      </w:r>
      <w:r>
        <w:rPr>
          <w:b/>
          <w:bCs/>
        </w:rPr>
        <w:t xml:space="preserve">within-r-band</w:t>
      </w:r>
      <w:r>
        <w:t xml:space="preserve"> </w:t>
      </w:r>
      <w:r>
        <w:t xml:space="preserve">effective-wavelength spread between a star with the standard population’s typical color and one with the</w:t>
      </w:r>
      <w:r>
        <w:t xml:space="preserve"> </w:t>
      </w:r>
      <w:r>
        <w:t xml:space="preserve">guide population’s typical color. That is a substantially smaller quantity than a naive full-baseline</w:t>
      </w:r>
      <w:r>
        <w:t xml:space="preserve"> </w:t>
      </w:r>
      <w:r>
        <w:t xml:space="preserve">BP−RP-to-λ_eff conversion would suggest, and it lands the physically-appropriate point on the low end of</w:t>
      </w:r>
      <w:r>
        <w:t xml:space="preserve"> </w:t>
      </w:r>
      <w:r>
        <w:t xml:space="preserve">the table above —</w:t>
      </w:r>
      <w:r>
        <w:t xml:space="preserve"> </w:t>
      </w:r>
      <w:r>
        <w:rPr>
          <w:b/>
          <w:bCs/>
        </w:rPr>
        <w:t xml:space="preserve">of order 0.02″</w:t>
      </w:r>
      <w:r>
        <w:t xml:space="preserve"> </w:t>
      </w:r>
      <w:r>
        <w:t xml:space="preserve">at the airmass scales relevant here. This is fully consistent with,</w:t>
      </w:r>
      <w:r>
        <w:t xml:space="preserve"> </w:t>
      </w:r>
      <w:r>
        <w:t xml:space="preserve">and gives a physical reason for, the ~3-6× gap:</w:t>
      </w:r>
      <w:r>
        <w:t xml:space="preserve"> </w:t>
      </w:r>
      <w:r>
        <w:rPr>
          <w:b/>
          <w:bCs/>
        </w:rPr>
        <w:t xml:space="preserve">the gap isn’t a sign the mechanism is failing, it’s the</w:t>
      </w:r>
      <w:r>
        <w:rPr>
          <w:b/>
          <w:bCs/>
        </w:rPr>
        <w:t xml:space="preserve"> </w:t>
      </w:r>
      <w:r>
        <w:rPr>
          <w:b/>
          <w:bCs/>
        </w:rPr>
        <w:t xml:space="preserve">expected consequence of the comparison being r-band-confined on all three sides.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859ca6dc05ec9b38b100b70825c18cff54d0c5"/>
    <w:p>
      <w:pPr>
        <w:pStyle w:val="Heading2"/>
      </w:pPr>
      <w:r>
        <w:t xml:space="preserve">Step C — the decisive internal test: does D_rot track standard-star color?</w:t>
      </w:r>
    </w:p>
    <w:p>
      <w:pPr>
        <w:pStyle w:val="FirstParagraph"/>
      </w:pPr>
      <w:r>
        <w:t xml:space="preserve">This test is immune to Step B’s absolute-scale uncertainty — it only needs a slope, not a normalization.</w:t>
      </w:r>
      <w:r>
        <w:t xml:space="preserve"> </w:t>
      </w:r>
      <w:r>
        <w:t xml:space="preserve">Reused the exact fit logic from</w:t>
      </w:r>
      <w:r>
        <w:t xml:space="preserve"> </w:t>
      </w:r>
      <w:r>
        <w:rPr>
          <w:rStyle w:val="VerbatimChar"/>
        </w:rPr>
        <w:t xml:space="preserve">analysis/dar_dipole/fit_dipole_quadrupole.py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within_demean</w:t>
      </w:r>
      <w:r>
        <w:t xml:space="preserve">/</w:t>
      </w:r>
      <w:r>
        <w:t xml:space="preserve"> </w:t>
      </w:r>
      <w:r>
        <w:rPr>
          <w:rStyle w:val="VerbatimChar"/>
        </w:rPr>
        <w:t xml:space="preserve">per_exp_normal</w:t>
      </w:r>
      <w:r>
        <w:t xml:space="preserve">/</w:t>
      </w:r>
      <w:r>
        <w:rPr>
          <w:rStyle w:val="VerbatimChar"/>
        </w:rPr>
        <w:t xml:space="preserve">solve</w:t>
      </w:r>
      <w:r>
        <w:t xml:space="preserve">/</w:t>
      </w:r>
      <w:r>
        <w:rPr>
          <w:rStyle w:val="VerbatimChar"/>
        </w:rPr>
        <w:t xml:space="preserve">amps</w:t>
      </w:r>
      <w:r>
        <w:t xml:space="preserve"> </w:t>
      </w:r>
      <w:r>
        <w:t xml:space="preserve">functions copied verbatim, not retyped) and refit D_rot separately on</w:t>
      </w:r>
      <w:r>
        <w:t xml:space="preserve"> </w:t>
      </w:r>
      <w:r>
        <w:t xml:space="preserve">standard stars split at the median</w:t>
      </w:r>
      <w:r>
        <w:t xml:space="preserve"> </w:t>
      </w:r>
      <w:r>
        <w:rPr>
          <w:rStyle w:val="VerbatimChar"/>
        </w:rPr>
        <w:t xml:space="preserve">MODEL_COLOR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bin</w:t>
            </w:r>
          </w:p>
        </w:tc>
        <w:tc>
          <w:tcPr/>
          <w:p>
            <w:pPr>
              <w:pStyle w:val="Compact"/>
            </w:pPr>
            <w:r>
              <w:t xml:space="preserve">D_rot (BLUE)</w:t>
            </w:r>
          </w:p>
        </w:tc>
        <w:tc>
          <w:tcPr/>
          <w:p>
            <w:pPr>
              <w:pStyle w:val="Compact"/>
            </w:pPr>
            <w:r>
              <w:t xml:space="preserve">D_rot (RED)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&gt;1.0</w:t>
            </w:r>
          </w:p>
        </w:tc>
        <w:tc>
          <w:tcPr/>
          <w:p>
            <w:pPr>
              <w:pStyle w:val="Compact"/>
            </w:pPr>
            <w:r>
              <w:t xml:space="preserve">0.0138 [0.0136,0.0140]</w:t>
            </w:r>
          </w:p>
        </w:tc>
        <w:tc>
          <w:tcPr/>
          <w:p>
            <w:pPr>
              <w:pStyle w:val="Compact"/>
            </w:pPr>
            <w:r>
              <w:t xml:space="preserve">0.0132 [0.0130,0.0134]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0.0344 [0.0334,0.0355]</w:t>
            </w:r>
          </w:p>
        </w:tc>
        <w:tc>
          <w:tcPr/>
          <w:p>
            <w:pPr>
              <w:pStyle w:val="Compact"/>
            </w:pPr>
            <w:r>
              <w:t xml:space="preserve">0.0357 [0.0347,0.0368]</w:t>
            </w:r>
          </w:p>
        </w:tc>
      </w:tr>
    </w:tbl>
    <w:p>
      <w:pPr>
        <w:pStyle w:val="BodyText"/>
      </w:pPr>
      <w:r>
        <w:rPr>
          <w:b/>
          <w:bCs/>
        </w:rPr>
        <w:t xml:space="preserve">Essentially identical between halves</w:t>
      </w:r>
      <w:r>
        <w:t xml:space="preserve"> </w:t>
      </w:r>
      <w:r>
        <w:t xml:space="preserve">— the confidence intervals overlap heavily at am&gt;1.4, and the</w:t>
      </w:r>
      <w:r>
        <w:t xml:space="preserve"> </w:t>
      </w:r>
      <w:r>
        <w:t xml:space="preserve">sign even runs slightly backwards from the chromatic prediction (red marginally larger, not blue).</w:t>
      </w:r>
    </w:p>
    <w:p>
      <w:pPr>
        <w:pStyle w:val="BodyText"/>
      </w:pPr>
      <w:r>
        <w:rPr>
          <w:b/>
          <w:bCs/>
        </w:rPr>
        <w:t xml:space="preserve">The honest caveat, and the correct way to read this null</w:t>
      </w:r>
      <w:r>
        <w:t xml:space="preserve">: the median split’s internal color contrast</w:t>
      </w:r>
      <w:r>
        <w:t xml:space="preserve"> </w:t>
      </w:r>
      <w:r>
        <w:t xml:space="preserve">(blue mean 0.274, red mean 0.369 in</w:t>
      </w:r>
      <w:r>
        <w:t xml:space="preserve"> </w:t>
      </w:r>
      <w:r>
        <w:rPr>
          <w:rStyle w:val="VerbatimChar"/>
        </w:rPr>
        <w:t xml:space="preserve">MODEL_COLOR</w:t>
      </w:r>
      <w:r>
        <w:t xml:space="preserve">) is real but modest — only about</w:t>
      </w:r>
      <w:r>
        <w:t xml:space="preserve"> </w:t>
      </w:r>
      <w:r>
        <w:rPr>
          <w:b/>
          <w:bCs/>
        </w:rPr>
        <w:t xml:space="preserve">20% of the full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standard-vs-guide Δ(BP−RP)</w:t>
      </w:r>
      <w:r>
        <w:t xml:space="preserve"> </w:t>
      </w:r>
      <w:r>
        <w:t xml:space="preserve">established in Step A. This is a genuinely weaker test than Step A is a</w:t>
      </w:r>
      <w:r>
        <w:t xml:space="preserve"> </w:t>
      </w:r>
      <w:r>
        <w:t xml:space="preserve">confirmation; it is not the same statistical power as a full population-level comparison would carry. The</w:t>
      </w:r>
      <w:r>
        <w:t xml:space="preserve"> </w:t>
      </w:r>
      <w:r>
        <w:t xml:space="preserve">correct conclusion from Step C is</w:t>
      </w:r>
      <w:r>
        <w:t xml:space="preserve"> </w:t>
      </w:r>
      <w:r>
        <w:rPr>
          <w:b/>
          <w:bCs/>
        </w:rPr>
        <w:t xml:space="preserve">“no detectable color dependence at this test’s more limited leverage,”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“chromatic contributes exactly zero.”</w:t>
      </w:r>
    </w:p>
    <w:p>
      <w:r>
        <w:pict>
          <v:rect style="width:0;height:1.5pt" o:hralign="center" o:hrstd="t" o:hr="t"/>
        </w:pict>
      </w:r>
    </w:p>
    <w:bookmarkEnd w:id="15"/>
    <w:bookmarkStart w:id="1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Taken together, Steps A, B, and C paint a coherent, physically-understood picture rather than a</w:t>
      </w:r>
      <w:r>
        <w:t xml:space="preserve"> </w:t>
      </w:r>
      <w:r>
        <w:t xml:space="preserve">contradiction: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A</w:t>
      </w:r>
      <w:r>
        <w:t xml:space="preserve"> </w:t>
      </w:r>
      <w:r>
        <w:t xml:space="preserve">establishes the premise solidly: standard stars are genuinely, substantially bluer than</w:t>
      </w:r>
      <w:r>
        <w:t xml:space="preserve"> </w:t>
      </w:r>
      <w:r>
        <w:t xml:space="preserve">guide stars.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B</w:t>
      </w:r>
      <w:r>
        <w:t xml:space="preserve">, once the r-band-confinement of all three relevant measurements is accounted for, predicts a</w:t>
      </w:r>
      <w:r>
        <w:t xml:space="preserve"> </w:t>
      </w:r>
      <w:r>
        <w:t xml:space="preserve">DCR contribution of order ~0.02″ — small compared to D_rot’s ~0.11-0.22″, not because the mechanism is</w:t>
      </w:r>
      <w:r>
        <w:t xml:space="preserve"> </w:t>
      </w:r>
      <w:r>
        <w:t xml:space="preserve">wrong, but because the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color baseline relevant to this specific effect is much narrower</w:t>
      </w:r>
      <w:r>
        <w:t xml:space="preserve"> </w:t>
      </w:r>
      <w:r>
        <w:t xml:space="preserve">than the full-spectrum color difference measured in Step 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C</w:t>
      </w:r>
      <w:r>
        <w:t xml:space="preserve">, at the leverage this particular split can achieve, finds no detectable color dependence</w:t>
      </w:r>
      <w:r>
        <w:t xml:space="preserve"> </w:t>
      </w:r>
      <w:r>
        <w:t xml:space="preserve">within the standard-star sample — consistent with a small, sub-dominant effect that this test’s modest</w:t>
      </w:r>
      <w:r>
        <w:t xml:space="preserve"> </w:t>
      </w:r>
      <w:r>
        <w:t xml:space="preserve">internal contrast isn’t powerful enough to resolve cleanly.</w:t>
      </w:r>
    </w:p>
    <w:p>
      <w:pPr>
        <w:pStyle w:val="FirstParagraph"/>
      </w:pPr>
      <w:r>
        <w:rPr>
          <w:b/>
          <w:bCs/>
        </w:rPr>
        <w:t xml:space="preserve">The defensible conclusion: guide-vs-science chromatic DCR is a real, physically-understood contributor</w:t>
      </w:r>
      <w:r>
        <w:rPr>
          <w:b/>
          <w:bCs/>
        </w:rPr>
        <w:t xml:space="preserve"> </w:t>
      </w:r>
      <w:r>
        <w:rPr>
          <w:b/>
          <w:bCs/>
        </w:rPr>
        <w:t xml:space="preserve">to D_rot, but not its dominant source, on the evidence gathered here.</w:t>
      </w:r>
      <w:r>
        <w:t xml:space="preserve"> </w:t>
      </w:r>
      <w:r>
        <w:t xml:space="preserve">The dipole’s dominant mechanism</w:t>
      </w:r>
      <w:r>
        <w:t xml:space="preserve"> </w:t>
      </w:r>
      <w:r>
        <w:t xml:space="preserve">remains open. This does not retract the guider-code reframing (Test 6’s full residual is genuinely mostly</w:t>
      </w:r>
      <w:r>
        <w:t xml:space="preserve"> </w:t>
      </w:r>
      <w:r>
        <w:t xml:space="preserve">corrected by the boresight loop, and only a guide≠science differential survives) — it narrows what kind</w:t>
      </w:r>
      <w:r>
        <w:t xml:space="preserve"> </w:t>
      </w:r>
      <w:r>
        <w:t xml:space="preserve">of guide≠science differential is doing the work, and chromatic effective-wavelength mismatch, while real,</w:t>
      </w:r>
      <w:r>
        <w:t xml:space="preserve"> </w:t>
      </w:r>
      <w:r>
        <w:t xml:space="preserve">is evidently not carrying most of it on its own.</w:t>
      </w:r>
    </w:p>
    <w:bookmarkEnd w:id="16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docs/TEST6_GUIDE_STAR_RESIDUAL_REPORT.md</w:t>
      </w:r>
      <w:r>
        <w:t xml:space="preserve"> </w:t>
      </w:r>
      <w:r>
        <w:t xml:space="preserve">— the guide-star post-fit-residual investigation this</w:t>
      </w:r>
      <w:r>
        <w:t xml:space="preserve"> </w:t>
      </w:r>
      <w:r>
        <w:t xml:space="preserve">extends, including the quadrupole-vs-Q_rot confirmation and the guider-code reframing.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docs/DAR_DIPOLE_NERSC_HANDOFF.md</w:t>
      </w:r>
      <w:r>
        <w:t xml:space="preserve"> </w:t>
      </w:r>
      <w:r>
        <w:t xml:space="preserve">— the primary investigation document.</w:t>
      </w:r>
    </w:p>
    <w:p>
      <w:pPr>
        <w:pStyle w:val="Compact"/>
        <w:numPr>
          <w:ilvl w:val="0"/>
          <w:numId w:val="1006"/>
        </w:numPr>
      </w:pPr>
      <w:r>
        <w:t xml:space="preserve">Memory: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 </w:t>
      </w:r>
      <w:r>
        <w:t xml:space="preserve">(full evolving record, including the original r-band</w:t>
      </w:r>
      <w:r>
        <w:t xml:space="preserve"> </w:t>
      </w:r>
      <w:r>
        <w:t xml:space="preserve">chromatic-closure reasoning this report builds on).</w:t>
      </w:r>
    </w:p>
    <w:p>
      <w:pPr>
        <w:pStyle w:val="Compact"/>
        <w:numPr>
          <w:ilvl w:val="0"/>
          <w:numId w:val="1006"/>
        </w:numPr>
      </w:pPr>
      <w:r>
        <w:t xml:space="preserve">Communication log:</w:t>
      </w:r>
      <w:r>
        <w:t xml:space="preserve"> </w:t>
      </w:r>
      <w:r>
        <w:rPr>
          <w:rStyle w:val="VerbatimChar"/>
        </w:rPr>
        <w:t xml:space="preserve">from_nersc_to_mac.md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from_mac_to_nersc.md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2026-08-06T02:11:54Z</dcterms:created>
  <dcterms:modified xsi:type="dcterms:W3CDTF">2026-08-06T02:11:54Z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