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ee4705122e88737906c5e218a9d77b424b272d"/>
    <w:p>
      <w:pPr>
        <w:pStyle w:val="Heading1"/>
      </w:pPr>
      <w:r>
        <w:t xml:space="preserve">Test 4 — per-frame affine decomposition of the guide-GFA offsets</w:t>
      </w:r>
    </w:p>
    <w:p>
      <w:pPr>
        <w:pStyle w:val="FirstParagraph"/>
      </w:pPr>
      <w:r>
        <w:t xml:space="preserve">K Honscheid (OSU) with Claude · NERSC session · 2026-08-05</w:t>
      </w:r>
    </w:p>
    <w:p>
      <w:pPr>
        <w:pStyle w:val="BodyText"/>
      </w:pPr>
      <w:r>
        <w:t xml:space="preserve">Follow-up to</w:t>
      </w:r>
      <w:r>
        <w:t xml:space="preserve"> </w:t>
      </w:r>
      <w:r>
        <w:rPr>
          <w:rStyle w:val="VerbatimChar"/>
        </w:rPr>
        <w:t xml:space="preserve">DAR_DIPOLE_NERSC_HANDOFF.md</w:t>
      </w:r>
      <w:r>
        <w:t xml:space="preserve"> </w:t>
      </w:r>
      <w:r>
        <w:t xml:space="preserve">(Test 4) and</w:t>
      </w:r>
      <w:r>
        <w:t xml:space="preserve"> </w:t>
      </w:r>
      <w:r>
        <w:rPr>
          <w:rStyle w:val="VerbatimChar"/>
        </w:rPr>
        <w:t xml:space="preserve">FIELD_ROTATION_REPORT.md</w:t>
      </w:r>
      <w:r>
        <w:t xml:space="preserve"> </w:t>
      </w:r>
      <w:r>
        <w:t xml:space="preserve">(Part 5). This</w:t>
      </w:r>
      <w:r>
        <w:t xml:space="preserve"> </w:t>
      </w:r>
      <w:r>
        <w:t xml:space="preserve">document reports a completed, self-contained analysis; it does not modify either of those documents.</w:t>
      </w:r>
    </w:p>
    <w:p>
      <w:r>
        <w:pict>
          <v:rect style="width:0;height:1.5pt" o:hralign="center" o:hrstd="t" o:hr="t"/>
        </w:pic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 validated on two single exposures</w:t>
      </w:r>
      <w:r>
        <w:t xml:space="preserve"> </w:t>
      </w:r>
      <w:r>
        <w:t xml:space="preserve">(one high-airmass, one near-zenith) before scaling up:</w:t>
      </w:r>
      <w:r>
        <w:t xml:space="preserve"> </w:t>
      </w:r>
      <w:r>
        <w:t xml:space="preserve">the 6-parameter affine fit (translation + rotation + isotropic scale + shear) of the 6 guide-GFA</w:t>
      </w:r>
      <w:r>
        <w:t xml:space="preserve"> </w:t>
      </w:r>
      <w:r>
        <w:t xml:space="preserve">offset vectors is well-conditioned (condition number 1.23, once positions are properly</w:t>
      </w:r>
      <w:r>
        <w:t xml:space="preserve"> </w:t>
      </w:r>
      <w:r>
        <w:t xml:space="preserve">non-dimensionalized — the</w:t>
      </w:r>
      <w:r>
        <w:t xml:space="preserve"> </w:t>
      </w:r>
      <w:r>
        <w:t xml:space="preserve">“co-radial GFA”</w:t>
      </w:r>
      <w:r>
        <w:t xml:space="preserve"> </w:t>
      </w:r>
      <w:r>
        <w:t xml:space="preserve">degeneracy worry does not bite), and the ETC-per-GFA</w:t>
      </w:r>
      <w:r>
        <w:t xml:space="preserve"> </w:t>
      </w:r>
      <w:r>
        <w:t xml:space="preserve">channel has genuinely</w:t>
      </w:r>
      <w:r>
        <w:t xml:space="preserve"> </w:t>
      </w:r>
      <w:r>
        <w:rPr>
          <w:b/>
          <w:bCs/>
        </w:rPr>
        <w:t xml:space="preserve">lower per-frame noise than the guider’s own per-star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rotation</w:t>
      </w:r>
      <w:r>
        <w:rPr>
          <w:b/>
          <w:bCs/>
        </w:rP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(~1.4–2.1× lower scatter, confirmed at both airmasses tested).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Scaled to the full D_rot am&gt;1.4 sample (2968 exposures, 100% success, ~2 min runtime).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Rotation channel</w:t>
      </w:r>
      <w:r>
        <w:t xml:space="preserve"> </w:t>
      </w:r>
      <w:r>
        <w:t xml:space="preserve">(the original motivation): the residual rotation rate (after the online</w:t>
      </w:r>
      <w:r>
        <w:t xml:space="preserve"> </w:t>
      </w:r>
      <w:r>
        <w:rPr>
          <w:rStyle w:val="VerbatimChar"/>
        </w:rPr>
        <w:t xml:space="preserve">hexapod.rot_rate</w:t>
      </w:r>
      <w:r>
        <w:t xml:space="preserve"> </w:t>
      </w:r>
      <w:r>
        <w:t xml:space="preserve">model has already been applied) has a small, real, airmass-correlated mean</w:t>
      </w:r>
      <w:r>
        <w:t xml:space="preserve"> </w:t>
      </w:r>
      <w:r>
        <w:t xml:space="preserve">(−0.06 → −0.10 arcsec/min from am&gt;1.4 to am&gt;1.8) —</w:t>
      </w:r>
      <w:r>
        <w:t xml:space="preserve"> </w:t>
      </w:r>
      <w:r>
        <w:rPr>
          <w:b/>
          <w:bCs/>
        </w:rPr>
        <w:t xml:space="preserve">consistent with, not a contradiction of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FIELD_ROTATION_REPORT.md</w:t>
      </w:r>
      <w:r>
        <w:t xml:space="preserve">’s own airmass finding (real but judged too small to warrant a dynamic</w:t>
      </w:r>
      <w:r>
        <w:t xml:space="preserve"> </w:t>
      </w:r>
      <w:r>
        <w:t xml:space="preserve">correction). This analysis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itself reopen that conclusion — see Caveats.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Translation/dipole channel</w:t>
      </w:r>
      <w:r>
        <w:t xml:space="preserve"> </w:t>
      </w:r>
      <w:r>
        <w:t xml:space="preserve">(Test 1 follow-up): the intra-exposure boresight drift, decomposed</w:t>
      </w:r>
      <w:r>
        <w:t xml:space="preserve"> </w:t>
      </w:r>
      <w:r>
        <w:t xml:space="preserve">into a zenith-tied (</w:t>
      </w:r>
      <w:r>
        <w:t xml:space="preserve">“rotating”</w:t>
      </w:r>
      <w:r>
        <w:t xml:space="preserve">) and instrument-tied (</w:t>
      </w:r>
      <w:r>
        <w:t xml:space="preserve">“fixed”</w:t>
      </w:r>
      <w:r>
        <w:t xml:space="preserve">) component using the same convention as</w:t>
      </w:r>
      <w:r>
        <w:t xml:space="preserve"> </w:t>
      </w:r>
      <w:r>
        <w:rPr>
          <w:rStyle w:val="VerbatimChar"/>
        </w:rPr>
        <w:t xml:space="preserve">fit_dipole_quadrupole.py</w:t>
      </w:r>
      <w:r>
        <w:t xml:space="preserve">, comes out</w:t>
      </w:r>
      <w:r>
        <w:t xml:space="preserve"> </w:t>
      </w:r>
      <w:r>
        <w:rPr>
          <w:b/>
          <w:bCs/>
        </w:rPr>
        <w:t xml:space="preserve">small and flat with airmass</w:t>
      </w:r>
      <w:r>
        <w:t xml:space="preserve"> </w:t>
      </w:r>
      <w:r>
        <w:t xml:space="preserve">in its coherent (mean) part</w:t>
      </w:r>
      <w:r>
        <w:t xml:space="preserve"> </w:t>
      </w:r>
      <w:r>
        <w:t xml:space="preserve">(~0.01–0.02″, not growing)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the clean D_rot-matching signature (~0.11–0.22″,</w:t>
      </w:r>
      <w:r>
        <w:t xml:space="preserve"> </w:t>
      </w:r>
      <w:r>
        <w:t xml:space="preserve">growing with airmass) the surviving hypothesis predicted using the naive</w:t>
      </w:r>
      <w:r>
        <w:t xml:space="preserve"> </w:t>
      </w:r>
      <w:r>
        <w:rPr>
          <w:rStyle w:val="VerbatimChar"/>
        </w:rPr>
        <w:t xml:space="preserve">rate×duration</w:t>
      </w:r>
      <w:r>
        <w:t xml:space="preserve"> </w:t>
      </w:r>
      <w:r>
        <w:t xml:space="preserve">metric. That</w:t>
      </w:r>
      <w:r>
        <w:t xml:space="preserve"> </w:t>
      </w:r>
      <w:r>
        <w:t xml:space="preserve">metric was subsequently shown to be the wrong quantity (see the Cross-term follow-up section below,</w:t>
      </w:r>
      <w:r>
        <w:t xml:space="preserve"> </w:t>
      </w:r>
      <w:r>
        <w:t xml:space="preserve">which supersedes this bullet’s</w:t>
      </w:r>
      <w:r>
        <w:t xml:space="preserve"> </w:t>
      </w:r>
      <w:r>
        <w:t xml:space="preserve">“not decisive”</w:t>
      </w:r>
      <w:r>
        <w:t xml:space="preserve"> </w:t>
      </w:r>
      <w:r>
        <w:t xml:space="preserve">framing with an actual decisive-ish result: the correct</w:t>
      </w:r>
      <w:r>
        <w:t xml:space="preserve"> </w:t>
      </w:r>
      <w:r>
        <w:t xml:space="preserve">quantity is real, grows with airmass, but explains only ~3-4% of D_rot — small, not dominant).</w:t>
      </w:r>
    </w:p>
    <w:p>
      <w:r>
        <w:pict>
          <v:rect style="width:0;height:1.5pt" o:hralign="center" o:hrstd="t" o:hr="t"/>
        </w:pict>
      </w:r>
    </w:p>
    <w:bookmarkEnd w:id="9"/>
    <w:bookmarkStart w:id="10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Two separate threads converge on the same underlying data: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FIELD_ROTATION_REPORT.md</w:t>
      </w:r>
      <w:r>
        <w:rPr>
          <w:b/>
          <w:bCs/>
        </w:rPr>
        <w:t xml:space="preserve"> </w:t>
      </w:r>
      <w:r>
        <w:rPr>
          <w:b/>
          <w:bCs/>
        </w:rPr>
        <w:t xml:space="preserve">Part 5</w:t>
      </w:r>
      <w:r>
        <w:t xml:space="preserve"> </w:t>
      </w:r>
      <w:r>
        <w:t xml:space="preserve">concluded no dynamic rotation correction because no driver</w:t>
      </w:r>
      <w:r>
        <w:t xml:space="preserve"> </w:t>
      </w:r>
      <w:r>
        <w:t xml:space="preserve">survived testing against the guider’s per-star, per-frame rotation fit — noisy, since GFAs carry</w:t>
      </w:r>
      <w:r>
        <w:t xml:space="preserve"> </w:t>
      </w:r>
      <w:r>
        <w:t xml:space="preserve">1–5 stars each (GUIDE7 often just 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DAR dipole investigation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DAR_DIPOLE_NERSC_HANDOFF.md</w:t>
      </w:r>
      <w:r>
        <w:t xml:space="preserve">) established a real, coherent,</w:t>
      </w:r>
      <w:r>
        <w:t xml:space="preserve"> </w:t>
      </w:r>
      <w:r>
        <w:t xml:space="preserve">zenith-tied, airmass-growing boresight offset (D_rot ≈ 0.14″) in the standard-star flux loss. Test 1</w:t>
      </w:r>
      <w:r>
        <w:t xml:space="preserve"> </w:t>
      </w:r>
      <w:r>
        <w:t xml:space="preserve">(the once-per-exposure acquisition offset) came back real but ~100–300× too large to resolve the</w:t>
      </w:r>
      <w:r>
        <w:t xml:space="preserve"> </w:t>
      </w:r>
      <w:r>
        <w:t xml:space="preserve">anomaly — dominated by the legitimate bulk pointing/refraction correction, not a small residual.</w:t>
      </w:r>
      <w:r>
        <w:t xml:space="preserve"> </w:t>
      </w:r>
      <w:r>
        <w:t xml:space="preserve">Per the</w:t>
      </w:r>
      <w:r>
        <w:t xml:space="preserve"> </w:t>
      </w:r>
      <w:r>
        <w:t xml:space="preserve">“correct placement”</w:t>
      </w:r>
      <w:r>
        <w:t xml:space="preserve"> </w:t>
      </w:r>
      <w:r>
        <w:t xml:space="preserve">reasoning already in memory (</w:t>
      </w:r>
      <w:r>
        <w:rPr>
          <w:rStyle w:val="VerbatimChar"/>
        </w:rPr>
        <w:t xml:space="preserve">dar-guider-bias-hypothesis</w:t>
      </w:r>
      <w:r>
        <w:t xml:space="preserve">), the physically</w:t>
      </w:r>
      <w:r>
        <w:t xml:space="preserve"> </w:t>
      </w:r>
      <w:r>
        <w:t xml:space="preserve">relevant quantity is not the one-time acquisition offset but the</w:t>
      </w:r>
      <w:r>
        <w:t xml:space="preserve"> </w:t>
      </w:r>
      <w:r>
        <w:rPr>
          <w:b/>
          <w:bCs/>
        </w:rPr>
        <w:t xml:space="preserve">intra-exposure guiding-loop</w:t>
      </w:r>
      <w:r>
        <w:rPr>
          <w:b/>
          <w:bCs/>
        </w:rP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— the boresight drift the guider fails to null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the science exposure.</w:t>
      </w:r>
    </w:p>
    <w:p>
      <w:pPr>
        <w:pStyle w:val="FirstParagraph"/>
      </w:pPr>
      <w:r>
        <w:t xml:space="preserve">The ETC json’s per-frame, per-GFA offset vectors (</w:t>
      </w:r>
      <w:r>
        <w:rPr>
          <w:rStyle w:val="VerbatimChar"/>
        </w:rPr>
        <w:t xml:space="preserve">thru/dx_gfa</w:t>
      </w:r>
      <w:r>
        <w:t xml:space="preserve">,</w:t>
      </w:r>
      <w:r>
        <w:t xml:space="preserve"> </w:t>
      </w:r>
      <w:r>
        <w:rPr>
          <w:rStyle w:val="VerbatimChar"/>
        </w:rPr>
        <w:t xml:space="preserve">thru/dy_gfa</w:t>
      </w:r>
      <w:r>
        <w:t xml:space="preserve">) let both questions be</w:t>
      </w:r>
      <w:r>
        <w:t xml:space="preserve"> </w:t>
      </w:r>
      <w:r>
        <w:t xml:space="preserve">addressed from lower-noise data than either previous approach used: a 6-parameter affine fit per frame</w:t>
      </w:r>
      <w:r>
        <w:t xml:space="preserve"> </w:t>
      </w:r>
      <w:r>
        <w:t xml:space="preserve">(12 measurements: 6 GFAs × 2 coordinates) separates translation, rotation, scale, and shear jointly,</w:t>
      </w:r>
      <w:r>
        <w:t xml:space="preserve"> </w:t>
      </w:r>
      <w:r>
        <w:t xml:space="preserve">rather than relying on a single combined per-star centroid estimate.</w:t>
      </w:r>
    </w:p>
    <w:p>
      <w:r>
        <w:pict>
          <v:rect style="width:0;height:1.5pt" o:hralign="center" o:hrstd="t" o:hr="t"/>
        </w:pict>
      </w:r>
    </w:p>
    <w:bookmarkEnd w:id="10"/>
    <w:bookmarkStart w:id="11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rPr>
          <w:b/>
          <w:bCs/>
        </w:rPr>
        <w:t xml:space="preserve">GFA geometry, units, ordering</w:t>
      </w:r>
      <w:r>
        <w:t xml:space="preserve"> </w:t>
      </w:r>
      <w:r>
        <w:t xml:space="preserve">— confirmed directly against</w:t>
      </w:r>
      <w:r>
        <w:t xml:space="preserve"> </w:t>
      </w:r>
      <w:r>
        <w:rPr>
          <w:rStyle w:val="VerbatimChar"/>
        </w:rPr>
        <w:t xml:space="preserve">desietc</w:t>
      </w:r>
      <w:r>
        <w:t xml:space="preserve"> </w:t>
      </w:r>
      <w:r>
        <w:t xml:space="preserve">source (user-uploaded to trunk</w:t>
      </w:r>
      <w:r>
        <w:t xml:space="preserve"> </w:t>
      </w:r>
      <w:r>
        <w:t xml:space="preserve">root,</w:t>
      </w:r>
      <w:r>
        <w:t xml:space="preserve"> </w:t>
      </w:r>
      <w:r>
        <w:rPr>
          <w:rStyle w:val="VerbatimChar"/>
        </w:rPr>
        <w:t xml:space="preserve">desietc-master/desietc/desietc/</w:t>
      </w:r>
      <w:r>
        <w:t xml:space="preserve">), not assumed: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thru.dx_gfa</w:t>
      </w:r>
      <w:r>
        <w:t xml:space="preserve">/</w:t>
      </w:r>
      <w:r>
        <w:rPr>
          <w:rStyle w:val="VerbatimChar"/>
        </w:rPr>
        <w:t xml:space="preserve">thru.dy_gfa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pixels</w:t>
      </w:r>
      <w:r>
        <w:t xml:space="preserve"> </w:t>
      </w:r>
      <w:r>
        <w:t xml:space="preserve">(not arcsec/degrees), one 6-element list per ETC frame.</w:t>
      </w:r>
      <w:r>
        <w:t xml:space="preserve"> </w:t>
      </w:r>
      <w:r>
        <w:t xml:space="preserve">- Camera order is</w:t>
      </w:r>
      <w:r>
        <w:t xml:space="preserve"> </w:t>
      </w:r>
      <w:r>
        <w:rPr>
          <w:rStyle w:val="VerbatimChar"/>
        </w:rPr>
        <w:t xml:space="preserve">desietc.gfa.GFACamera.guide_names = ['GUIDE0','GUIDE2','GUIDE3','GUIDE5','GUIDE7','GUIDE8']</w:t>
      </w:r>
      <w:r>
        <w:t xml:space="preserve"> </w:t>
      </w:r>
      <w:r>
        <w:t xml:space="preserve">— confirmed to match</w:t>
      </w:r>
      <w:r>
        <w:t xml:space="preserve"> </w:t>
      </w:r>
      <w:r>
        <w:rPr>
          <w:rStyle w:val="VerbatimChar"/>
        </w:rPr>
        <w:t xml:space="preserve">exposure.exposure.guide_cameras</w:t>
      </w:r>
      <w:r>
        <w:t xml:space="preserve"> </w:t>
      </w:r>
      <w:r>
        <w:t xml:space="preserve">and the ETC json’s</w:t>
      </w:r>
      <w:r>
        <w:t xml:space="preserve"> </w:t>
      </w:r>
      <w:r>
        <w:rPr>
          <w:rStyle w:val="VerbatimChar"/>
        </w:rPr>
        <w:t xml:space="preserve">guide_stars</w:t>
      </w:r>
      <w:r>
        <w:t xml:space="preserve"> </w:t>
      </w:r>
      <w:r>
        <w:t xml:space="preserve">dict key order.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desietc/gfa.py</w:t>
      </w:r>
      <w:r>
        <w:t xml:space="preserve"> </w:t>
      </w:r>
      <w:r>
        <w:t xml:space="preserve">ships a</w:t>
      </w:r>
      <w:r>
        <w:t xml:space="preserve"> </w:t>
      </w:r>
      <w:r>
        <w:rPr>
          <w:rStyle w:val="VerbatimChar"/>
        </w:rPr>
        <w:t xml:space="preserve">CS5</w:t>
      </w:r>
      <w:r>
        <w:t xml:space="preserve"> </w:t>
      </w:r>
      <w:r>
        <w:t xml:space="preserve">dict (from</w:t>
      </w:r>
      <w:r>
        <w:t xml:space="preserve"> </w:t>
      </w:r>
      <w:r>
        <w:rPr>
          <w:rStyle w:val="VerbatimChar"/>
        </w:rPr>
        <w:t xml:space="preserve">desimeter.transform.gfa2fp</w:t>
      </w:r>
      <w:r>
        <w:t xml:space="preserve">): each camera’s nominal</w:t>
      </w:r>
      <w:r>
        <w:t xml:space="preserve"> </w:t>
      </w:r>
      <w:r>
        <w:t xml:space="preserve">CS5 (focal-plane, mm) position, plus the exact pixel→CS5-mm linear (rotation+scale) conversion. Used</w:t>
      </w:r>
      <w:r>
        <w:t xml:space="preserve"> </w:t>
      </w:r>
      <w:r>
        <w:t xml:space="preserve">directly rather than re-deriving GFA geometry from</w:t>
      </w:r>
      <w:r>
        <w:t xml:space="preserve"> </w:t>
      </w:r>
      <w:r>
        <w:rPr>
          <w:rStyle w:val="VerbatimChar"/>
        </w:rPr>
        <w:t xml:space="preserve">gfadata-*.par</w:t>
      </w:r>
      <w:r>
        <w:t xml:space="preserve">/</w:t>
      </w:r>
      <w:r>
        <w:rPr>
          <w:rStyle w:val="VerbatimChar"/>
        </w:rPr>
        <w:t xml:space="preserve">gfaoffset-desi.dat</w:t>
      </w:r>
      <w:r>
        <w:t xml:space="preserve"> </w:t>
      </w:r>
      <w:r>
        <w:t xml:space="preserve">(used for the</w:t>
      </w:r>
      <w:r>
        <w:t xml:space="preserve"> </w:t>
      </w:r>
      <w:r>
        <w:t xml:space="preserve">earlier, separate, already-ruled-out gravity-deformation check).</w:t>
      </w:r>
    </w:p>
    <w:p>
      <w:pPr>
        <w:pStyle w:val="BodyText"/>
      </w:pPr>
      <w:r>
        <w:rPr>
          <w:b/>
          <w:bCs/>
        </w:rPr>
        <w:t xml:space="preserve">Per-frame affine model</w:t>
      </w:r>
      <w:r>
        <w:t xml:space="preserve"> </w:t>
      </w:r>
      <w:r>
        <w:t xml:space="preserve">— for GFA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at CS5 position (X_i, Y_i):</w:t>
      </w:r>
    </w:p>
    <w:p>
      <w:pPr>
        <w:pStyle w:val="SourceCode"/>
      </w:pPr>
      <w:r>
        <w:rPr>
          <w:rStyle w:val="VerbatimChar"/>
        </w:rPr>
        <w:t xml:space="preserve">dX_i = tx + s·X_i − θ·Y_i + e1·X_i + e2·Y_i</w:t>
      </w:r>
      <w:r>
        <w:br/>
      </w:r>
      <w:r>
        <w:rPr>
          <w:rStyle w:val="VerbatimChar"/>
        </w:rPr>
        <w:t xml:space="preserve">dY_i = ty + s·Y_i + θ·X_i + e2·X_i − e1·Y_i</w:t>
      </w:r>
    </w:p>
    <w:p>
      <w:pPr>
        <w:pStyle w:val="FirstParagraph"/>
      </w:pPr>
      <w:r>
        <w:t xml:space="preserve">6 unknowns (tx, ty, s, θ, e1, e2) from 12 measurements. Per the Kirkby zero-sum caveat, rotation and</w:t>
      </w:r>
      <w:r>
        <w:t xml:space="preserve"> </w:t>
      </w:r>
      <w:r>
        <w:t xml:space="preserve">shear are</w:t>
      </w:r>
      <w:r>
        <w:t xml:space="preserve"> </w:t>
      </w:r>
      <w:r>
        <w:rPr>
          <w:b/>
          <w:bCs/>
        </w:rPr>
        <w:t xml:space="preserve">always fit jointly</w:t>
      </w:r>
      <w:r>
        <w:t xml:space="preserve"> </w:t>
      </w:r>
      <w:r>
        <w:t xml:space="preserve">(never rotation alone) — satisfied by construction, since both are part</w:t>
      </w:r>
      <w:r>
        <w:t xml:space="preserve"> </w:t>
      </w:r>
      <w:r>
        <w:t xml:space="preserve">of the same 6-parameter solve. Positions are non-dimensionalized by the GFA-ring radius (all 6 GFAs sit</w:t>
      </w:r>
      <w:r>
        <w:t xml:space="preserve"> </w:t>
      </w:r>
      <w:r>
        <w:t xml:space="preserve">within 407.3–407.6mm of the focal-plane center, in 3 exact antipodal pairs) before checking conditioning</w:t>
      </w:r>
      <w:r>
        <w:t xml:space="preserve"> </w:t>
      </w:r>
      <w:r>
        <w:t xml:space="preserve">— an earlier attempt without this gave a condition number of ~1e16 (later traced to a sign bug in the</w:t>
      </w:r>
      <w:r>
        <w:t xml:space="preserve"> </w:t>
      </w:r>
      <w:r>
        <w:t xml:space="preserve">shear columns, not a real degeneracy); the corrected, properly-scaled design matrix gives</w:t>
      </w:r>
      <w:r>
        <w:t xml:space="preserve"> </w:t>
      </w:r>
      <w:r>
        <w:rPr>
          <w:b/>
          <w:bCs/>
        </w:rPr>
        <w:t xml:space="preserve">1.23</w:t>
      </w:r>
      <w:r>
        <w:t xml:space="preserve">,</w:t>
      </w:r>
      <w:r>
        <w:t xml:space="preserve"> </w:t>
      </w:r>
      <w:r>
        <w:t xml:space="preserve">essentially perfectly conditioned. The design matrix is identical for every frame (fixed geometry), so</w:t>
      </w:r>
      <w:r>
        <w:t xml:space="preserve"> </w:t>
      </w:r>
      <w:r>
        <w:t xml:space="preserve">all frames of an exposure are solved in one matrix multiply via a precomputed pseudo-inverse.</w:t>
      </w:r>
    </w:p>
    <w:p>
      <w:pPr>
        <w:pStyle w:val="BodyText"/>
      </w:pPr>
      <w:r>
        <w:rPr>
          <w:b/>
          <w:bCs/>
        </w:rPr>
        <w:t xml:space="preserve">Per-exposure drift</w:t>
      </w:r>
      <w:r>
        <w:t xml:space="preserve"> </w:t>
      </w:r>
      <w:r>
        <w:t xml:space="preserve">= the linear-in-time slope of tx(t), ty(t), θ(t) across all frames of the</w:t>
      </w:r>
      <w:r>
        <w:t xml:space="preserve"> </w:t>
      </w:r>
      <w:r>
        <w:t xml:space="preserve">exposure (same precedent as</w:t>
      </w:r>
      <w:r>
        <w:t xml:space="preserve"> </w:t>
      </w:r>
      <w:r>
        <w:rPr>
          <w:rStyle w:val="VerbatimChar"/>
        </w:rPr>
        <w:t xml:space="preserve">fieldrotationcorrection.ipynb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rotation_rate_slope</w:t>
      </w:r>
      <w:r>
        <w:t xml:space="preserve">) — kept simple/linear</w:t>
      </w:r>
      <w:r>
        <w:t xml:space="preserve"> </w:t>
      </w:r>
      <w:r>
        <w:t xml:space="preserve">per agreement, not a robust or higher-order fit.</w:t>
      </w:r>
    </w:p>
    <w:p>
      <w:pPr>
        <w:pStyle w:val="BodyText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analysis/dar_dipole/affine_gfa_drift_test.py</w:t>
      </w:r>
      <w:r>
        <w:t xml:space="preserve">.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rPr>
          <w:rStyle w:val="VerbatimChar"/>
        </w:rPr>
        <w:t xml:space="preserve">data/dar_test4_drift.parquet</w:t>
      </w:r>
      <w:r>
        <w:t xml:space="preserve"> </w:t>
      </w:r>
      <w:r>
        <w:t xml:space="preserve">(2968 rows, one per am&gt;1.4 exposure:</w:t>
      </w:r>
      <w:r>
        <w:t xml:space="preserve"> </w:t>
      </w:r>
      <w:r>
        <w:rPr>
          <w:rStyle w:val="VerbatimChar"/>
        </w:rPr>
        <w:t xml:space="preserve">tx_slope_mmpermin</w:t>
      </w:r>
      <w:r>
        <w:t xml:space="preserve">,</w:t>
      </w:r>
      <w:r>
        <w:t xml:space="preserve"> </w:t>
      </w:r>
      <w:r>
        <w:rPr>
          <w:rStyle w:val="VerbatimChar"/>
        </w:rPr>
        <w:t xml:space="preserve">ty_slope_mmpermin</w:t>
      </w:r>
      <w:r>
        <w:t xml:space="preserve">,</w:t>
      </w:r>
      <w:r>
        <w:t xml:space="preserve"> </w:t>
      </w:r>
      <w:r>
        <w:rPr>
          <w:rStyle w:val="VerbatimChar"/>
        </w:rPr>
        <w:t xml:space="preserve">theta_slope_arcsecpermin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nframe</w:t>
      </w:r>
      <w:r>
        <w:t xml:space="preserve">, merged with</w:t>
      </w:r>
      <w:r>
        <w:t xml:space="preserve"> </w:t>
      </w:r>
      <w:r>
        <w:rPr>
          <w:rStyle w:val="VerbatimChar"/>
        </w:rPr>
        <w:t xml:space="preserve">airmass</w:t>
      </w:r>
      <w:r>
        <w:t xml:space="preserve">/</w:t>
      </w:r>
      <w:r>
        <w:rPr>
          <w:rStyle w:val="VerbatimChar"/>
        </w:rPr>
        <w:t xml:space="preserve">parallactic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Xa624c343c51da8ae614805cb655505e798db613"/>
    <w:p>
      <w:pPr>
        <w:pStyle w:val="Heading2"/>
      </w:pPr>
      <w:r>
        <w:t xml:space="preserve">Validation (single-exposure checks, before scaling up)</w:t>
      </w:r>
    </w:p>
    <w:p>
      <w:pPr>
        <w:pStyle w:val="FirstParagraph"/>
      </w:pPr>
      <w:r>
        <w:t xml:space="preserve">Two exposures tested: EXPID 360097 (airmass 1.98, high) and EXPID 355421 (airmass 1.00, near zenith).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high airmass (360097)</w:t>
            </w:r>
          </w:p>
        </w:tc>
        <w:tc>
          <w:tcPr/>
          <w:p>
            <w:pPr>
              <w:pStyle w:val="Compact"/>
            </w:pPr>
            <w:r>
              <w:t xml:space="preserve">low airmass (355421)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matrix condition number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  <w:tc>
          <w:tcPr/>
          <w:p>
            <w:pPr>
              <w:pStyle w:val="Compact"/>
            </w:pPr>
            <w:r>
              <w:t xml:space="preserve">1.23 (geometry-only, airmass-independent)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θ(t) mean ± std</w:t>
            </w:r>
          </w:p>
        </w:tc>
        <w:tc>
          <w:tcPr/>
          <w:p>
            <w:pPr>
              <w:pStyle w:val="Compact"/>
            </w:pPr>
            <w:r>
              <w:t xml:space="preserve">−4.58″ ± 2.38″</w:t>
            </w:r>
          </w:p>
        </w:tc>
        <w:tc>
          <w:tcPr/>
          <w:p>
            <w:pPr>
              <w:pStyle w:val="Compact"/>
            </w:pPr>
            <w:r>
              <w:t xml:space="preserve">−1.08″ ± 0.77″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correlation(θ_ETC, guider</w:t>
            </w:r>
            <w:r>
              <w:t xml:space="preserve"> </w:t>
            </w:r>
            <w:r>
              <w:rPr>
                <w:rStyle w:val="VerbatimChar"/>
              </w:rPr>
              <w:t xml:space="preserve">rotation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r=0.91, R²=0.82</w:t>
            </w:r>
          </w:p>
        </w:tc>
        <w:tc>
          <w:tcPr/>
          <w:p>
            <w:pPr>
              <w:pStyle w:val="Compact"/>
            </w:pPr>
            <w:r>
              <w:t xml:space="preserve">r=0.57, R²=0.32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ratio (guider/ETC, detrended)</w:t>
            </w:r>
          </w:p>
        </w:tc>
        <w:tc>
          <w:tcPr/>
          <w:p>
            <w:pPr>
              <w:pStyle w:val="Compact"/>
            </w:pPr>
            <w:r>
              <w:t xml:space="preserve">1.44×</w:t>
            </w:r>
          </w:p>
        </w:tc>
        <w:tc>
          <w:tcPr/>
          <w:p>
            <w:pPr>
              <w:pStyle w:val="Compact"/>
            </w:pPr>
            <w:r>
              <w:t xml:space="preserve">2.11×</w:t>
            </w:r>
          </w:p>
        </w:tc>
      </w:tr>
    </w:tbl>
    <w:p>
      <w:pPr>
        <w:pStyle w:val="BodyText"/>
      </w:pPr>
      <w:r>
        <w:t xml:space="preserve">The ETC-per-GFA channel is the lower-noise channel at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airmasses, and the noise premise the test</w:t>
      </w:r>
      <w:r>
        <w:t xml:space="preserve"> </w:t>
      </w:r>
      <w:r>
        <w:t xml:space="preserve">was built on holds. The correlation with the guider’s own estimate drops at low airmass — plausibly</w:t>
      </w:r>
      <w:r>
        <w:t xml:space="preserve"> </w:t>
      </w:r>
      <w:r>
        <w:t xml:space="preserve">because the true rotation signal itself is smaller there (~1″ vs ~4.6″), so two independently-noisy</w:t>
      </w:r>
      <w:r>
        <w:t xml:space="preserve"> </w:t>
      </w:r>
      <w:r>
        <w:t xml:space="preserve">estimates of a smaller true signal naturally correlate less even if neither is biased; this explanation</w:t>
      </w:r>
      <w:r>
        <w:t xml:space="preserve"> </w:t>
      </w:r>
      <w:r>
        <w:t xml:space="preserve">is plausible but</w:t>
      </w:r>
      <w:r>
        <w:t xml:space="preserve"> </w:t>
      </w:r>
      <w:r>
        <w:rPr>
          <w:b/>
          <w:bCs/>
        </w:rPr>
        <w:t xml:space="preserve">not independently confirmed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ff0f4f456be59faa4d27d93e659edce68802ce5"/>
    <w:p>
      <w:pPr>
        <w:pStyle w:val="Heading2"/>
      </w:pPr>
      <w:r>
        <w:t xml:space="preserve">Results — rotation channel (the</w:t>
      </w:r>
      <w:r>
        <w:t xml:space="preserve"> </w:t>
      </w:r>
      <w:r>
        <w:rPr>
          <w:rStyle w:val="VerbatimChar"/>
        </w:rPr>
        <w:t xml:space="preserve">FIELD_ROTATION_REPORT.md</w:t>
      </w:r>
      <w:r>
        <w:t xml:space="preserve"> </w:t>
      </w:r>
      <w:r>
        <w:t xml:space="preserve">question)</w:t>
      </w:r>
    </w:p>
    <w:p>
      <w:pPr>
        <w:pStyle w:val="FirstParagraph"/>
      </w:pPr>
      <w:r>
        <w:t xml:space="preserve">θ_slope is measured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online</w:t>
      </w:r>
      <w:r>
        <w:t xml:space="preserve"> </w:t>
      </w:r>
      <w:r>
        <w:rPr>
          <w:rStyle w:val="VerbatimChar"/>
        </w:rPr>
        <w:t xml:space="preserve">hexapod.rot_rate</w:t>
      </w:r>
      <w:r>
        <w:t xml:space="preserve"> </w:t>
      </w:r>
      <w:r>
        <w:t xml:space="preserve">model has already been applied — it is 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rate, directly comparable to what</w:t>
      </w:r>
      <w:r>
        <w:t xml:space="preserve"> </w:t>
      </w:r>
      <w:r>
        <w:rPr>
          <w:rStyle w:val="VerbatimChar"/>
        </w:rPr>
        <w:t xml:space="preserve">FIELD_ROTATION_REPORT.md</w:t>
      </w:r>
      <w:r>
        <w:t xml:space="preserve"> </w:t>
      </w:r>
      <w:r>
        <w:t xml:space="preserve">Part 5 was hunting a driver</w:t>
      </w:r>
      <w:r>
        <w:t xml:space="preserve"> </w:t>
      </w:r>
      <w:r>
        <w:t xml:space="preserve">for.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 bin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 residual (arcsec/min)</w:t>
            </w:r>
          </w:p>
        </w:tc>
        <w:tc>
          <w:tcPr/>
          <w:p>
            <w:pPr>
              <w:pStyle w:val="Compact"/>
            </w:pPr>
            <w:r>
              <w:t xml:space="preserve">std (arcsec/min)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&gt;1.4</w:t>
            </w:r>
          </w:p>
        </w:tc>
        <w:tc>
          <w:tcPr/>
          <w:p>
            <w:pPr>
              <w:pStyle w:val="Compact"/>
            </w:pPr>
            <w:r>
              <w:t xml:space="preserve">2968</w:t>
            </w:r>
          </w:p>
        </w:tc>
        <w:tc>
          <w:tcPr/>
          <w:p>
            <w:pPr>
              <w:pStyle w:val="Compact"/>
            </w:pPr>
            <w:r>
              <w:t xml:space="preserve">−0.060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&gt;1.6</w:t>
            </w:r>
          </w:p>
        </w:tc>
        <w:tc>
          <w:tcPr/>
          <w:p>
            <w:pPr>
              <w:pStyle w:val="Compact"/>
            </w:pPr>
            <w:r>
              <w:t xml:space="preserve">1035</w:t>
            </w:r>
          </w:p>
        </w:tc>
        <w:tc>
          <w:tcPr/>
          <w:p>
            <w:pPr>
              <w:pStyle w:val="Compact"/>
            </w:pPr>
            <w:r>
              <w:t xml:space="preserve">−0.070</w:t>
            </w:r>
          </w:p>
        </w:tc>
        <w:tc>
          <w:tcPr/>
          <w:p>
            <w:pPr>
              <w:pStyle w:val="Compact"/>
            </w:pPr>
            <w:r>
              <w:t xml:space="preserve">0.173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&gt;1.8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−0.100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correlation(residual, airmass) = −0.062 — weak, matching</w:t>
      </w:r>
      <w:r>
        <w:t xml:space="preserve"> </w:t>
      </w:r>
      <w:r>
        <w:rPr>
          <w:rStyle w:val="VerbatimChar"/>
        </w:rPr>
        <w:t xml:space="preserve">FIELD_ROTATION_REPORT.md</w:t>
      </w:r>
      <w:r>
        <w:t xml:space="preserve">’s own conclusion</w:t>
      </w:r>
      <w:r>
        <w:t xml:space="preserve"> </w:t>
      </w:r>
      <w:r>
        <w:t xml:space="preserve">that airmass has real but marginal explanatory power (the report deliberately excluded it from the</w:t>
      </w:r>
      <w:r>
        <w:t xml:space="preserve"> </w:t>
      </w:r>
      <w:r>
        <w:t xml:space="preserve">deployed static model on exactly these grounds).</w:t>
      </w:r>
    </w:p>
    <w:p>
      <w:pPr>
        <w:pStyle w:val="Compact"/>
        <w:numPr>
          <w:ilvl w:val="0"/>
          <w:numId w:val="1003"/>
        </w:numPr>
      </w:pPr>
      <w:r>
        <w:t xml:space="preserve">correlation(residual, the</w:t>
      </w:r>
      <w:r>
        <w:t xml:space="preserve"> </w:t>
      </w:r>
      <w:r>
        <w:rPr>
          <w:rStyle w:val="VerbatimChar"/>
        </w:rPr>
        <w:t xml:space="preserve">rot_rate</w:t>
      </w:r>
      <w:r>
        <w:t xml:space="preserve"> </w:t>
      </w:r>
      <w:r>
        <w:t xml:space="preserve">model value itself) = −0.14 — a real, nonzero correlation,</w:t>
      </w:r>
      <w:r>
        <w:t xml:space="preserve"> </w:t>
      </w:r>
      <w:r>
        <w:t xml:space="preserve">meaning the current model’s predictions aren’t fully independent of its own leftover residual; mild,</w:t>
      </w:r>
      <w:r>
        <w:t xml:space="preserve"> </w:t>
      </w:r>
      <w:r>
        <w:t xml:space="preserve">not dramatic.</w:t>
      </w:r>
    </w:p>
    <w:p>
      <w:pPr>
        <w:pStyle w:val="Compact"/>
        <w:numPr>
          <w:ilvl w:val="0"/>
          <w:numId w:val="1003"/>
        </w:numPr>
      </w:pPr>
      <w:r>
        <w:t xml:space="preserve">The mean residual grows somewhat with airmass (−0.06 → −0.10 arcsec/min) —</w:t>
      </w:r>
      <w:r>
        <w:t xml:space="preserve"> </w:t>
      </w:r>
      <w:r>
        <w:rPr>
          <w:b/>
          <w:bCs/>
        </w:rPr>
        <w:t xml:space="preserve">the same shape and</w:t>
      </w:r>
      <w:r>
        <w:rPr>
          <w:b/>
          <w:bCs/>
        </w:rPr>
        <w:t xml:space="preserve"> </w:t>
      </w:r>
      <w:r>
        <w:rPr>
          <w:b/>
          <w:bCs/>
        </w:rPr>
        <w:t xml:space="preserve">roughly the same size</w:t>
      </w:r>
      <w:r>
        <w:t xml:space="preserve"> </w:t>
      </w:r>
      <w:r>
        <w:t xml:space="preserve">as the marginal airmass effect</w:t>
      </w:r>
      <w:r>
        <w:t xml:space="preserve"> </w:t>
      </w:r>
      <w:r>
        <w:rPr>
          <w:rStyle w:val="VerbatimChar"/>
        </w:rPr>
        <w:t xml:space="preserve">FIELD_ROTATION_REPORT.md</w:t>
      </w:r>
      <w:r>
        <w:t xml:space="preserve"> </w:t>
      </w:r>
      <w:r>
        <w:t xml:space="preserve">already found and</w:t>
      </w:r>
      <w:r>
        <w:t xml:space="preserve"> </w:t>
      </w:r>
      <w:r>
        <w:t xml:space="preserve">chose not to deploy.</w:t>
      </w:r>
    </w:p>
    <w:p>
      <w:pPr>
        <w:pStyle w:val="FirstParagraph"/>
      </w:pPr>
      <w:r>
        <w:rPr>
          <w:b/>
          <w:bCs/>
        </w:rPr>
        <w:t xml:space="preserve">Read: this does not, on its own, reopen the static-vs-dynamic decision.</w:t>
      </w:r>
      <w:r>
        <w:t xml:space="preserve"> </w:t>
      </w:r>
      <w:r>
        <w:t xml:space="preserve">It reproduces (at improved</w:t>
      </w:r>
      <w:r>
        <w:t xml:space="preserve"> </w:t>
      </w:r>
      <w:r>
        <w:t xml:space="preserve">per-frame precision) essentially the same small airmass-correlated residual the report already</w:t>
      </w:r>
      <w:r>
        <w:t xml:space="preserve"> </w:t>
      </w:r>
      <w:r>
        <w:t xml:space="preserve">characterized and dismissed as too small to act on — it neither strengthens nor overturns that call. A</w:t>
      </w:r>
      <w:r>
        <w:t xml:space="preserve"> </w:t>
      </w:r>
      <w:r>
        <w:t xml:space="preserve">genuine reopening would need the comparison this analysis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do: re-testing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candidate</w:t>
      </w:r>
      <w:r>
        <w:t xml:space="preserve"> </w:t>
      </w:r>
      <w:r>
        <w:t xml:space="preserve">drivers (weather, TCS-correction magnitude)</w:t>
      </w:r>
      <w:r>
        <w:t xml:space="preserve"> </w:t>
      </w:r>
      <w:r>
        <w:rPr>
          <w:rStyle w:val="VerbatimChar"/>
        </w:rPr>
        <w:t xml:space="preserve">FIELD_ROTATION_REPORT.md</w:t>
      </w:r>
      <w:r>
        <w:t xml:space="preserve"> </w:t>
      </w:r>
      <w:r>
        <w:t xml:space="preserve">Part 5 tested, using this</w:t>
      </w:r>
      <w:r>
        <w:t xml:space="preserve"> </w:t>
      </w:r>
      <w:r>
        <w:t xml:space="preserve">lower-noise channel, to see if any driver that previously failed to survive full-scale testing now does.</w:t>
      </w:r>
    </w:p>
    <w:p>
      <w:r>
        <w:pict>
          <v:rect style="width:0;height:1.5pt" o:hralign="center" o:hrstd="t" o:hr="t"/>
        </w:pict>
      </w:r>
    </w:p>
    <w:bookmarkEnd w:id="13"/>
    <w:bookmarkStart w:id="14" w:name="Xf6ce1e75787b6f8461c75bbf045fb6ce62e9a5a"/>
    <w:p>
      <w:pPr>
        <w:pStyle w:val="Heading2"/>
      </w:pPr>
      <w:r>
        <w:t xml:space="preserve">Results — translation/dipole channel (Test 1 follow-up)</w:t>
      </w:r>
    </w:p>
    <w:p>
      <w:pPr>
        <w:pStyle w:val="FirstParagraph"/>
      </w:pPr>
      <w:r>
        <w:t xml:space="preserve">Per-exposure translation drift rate × exposure duration = a total drift magnitude (arcsec, via an</w:t>
      </w:r>
      <w:r>
        <w:t xml:space="preserve"> </w:t>
      </w:r>
      <w:r>
        <w:t xml:space="preserve">approximate 0.070 mm/arcsec focal-plane platescale near the GFA radius), decomposed into a zenith-tied</w:t>
      </w:r>
      <w:r>
        <w:t xml:space="preserve"> </w:t>
      </w:r>
      <w:r>
        <w:t xml:space="preserve">(</w:t>
      </w:r>
      <w:r>
        <w:t xml:space="preserve">“rotating”</w:t>
      </w:r>
      <w:r>
        <w:t xml:space="preserve">) and instrument-tied (</w:t>
      </w:r>
      <w:r>
        <w:t xml:space="preserve">“fixed”</w:t>
      </w:r>
      <w:r>
        <w:t xml:space="preserve">) component using the identical q-rotation convention</w:t>
      </w:r>
      <w:r>
        <w:t xml:space="preserve"> </w:t>
      </w:r>
      <w:r>
        <w:rPr>
          <w:rStyle w:val="VerbatimChar"/>
        </w:rPr>
        <w:t xml:space="preserve">fit_dipole_quadrupole.py</w:t>
      </w:r>
      <w:r>
        <w:t xml:space="preserve"> </w:t>
      </w:r>
      <w:r>
        <w:t xml:space="preserve">uses for per-star focal-plane X/Y (appropriate here since CS5 is the same</w:t>
      </w:r>
      <w:r>
        <w:t xml:space="preserve"> </w:t>
      </w:r>
      <w:r>
        <w:t xml:space="preserve">focal-plane-fixed coordinate family, not the RA/Dec frame Test 1’s</w:t>
      </w:r>
      <w:r>
        <w:t xml:space="preserve"> </w:t>
      </w:r>
      <w:r>
        <w:rPr>
          <w:rStyle w:val="VerbatimChar"/>
        </w:rPr>
        <w:t xml:space="preserve">mount_offset_ra/dec</w:t>
      </w:r>
      <w:r>
        <w:t xml:space="preserve"> </w:t>
      </w:r>
      <w:r>
        <w:t xml:space="preserve">used).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 bin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mean(rotating) [16,84]</w:t>
            </w:r>
          </w:p>
        </w:tc>
        <w:tc>
          <w:tcPr/>
          <w:p>
            <w:pPr>
              <w:pStyle w:val="Compact"/>
            </w:pPr>
            <w:r>
              <w:t xml:space="preserve">RMS(rotating)</w:t>
            </w:r>
          </w:p>
        </w:tc>
        <w:tc>
          <w:tcPr/>
          <w:p>
            <w:pPr>
              <w:pStyle w:val="Compact"/>
            </w:pPr>
            <w:r>
              <w:t xml:space="preserve">mean(fixed) [16,84]</w:t>
            </w:r>
          </w:p>
        </w:tc>
        <w:tc>
          <w:tcPr/>
          <w:p>
            <w:pPr>
              <w:pStyle w:val="Compact"/>
            </w:pPr>
            <w:r>
              <w:t xml:space="preserve">RMS(fixed)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&gt;1.4</w:t>
            </w:r>
          </w:p>
        </w:tc>
        <w:tc>
          <w:tcPr/>
          <w:p>
            <w:pPr>
              <w:pStyle w:val="Compact"/>
            </w:pPr>
            <w:r>
              <w:t xml:space="preserve">2968</w:t>
            </w:r>
          </w:p>
        </w:tc>
        <w:tc>
          <w:tcPr/>
          <w:p>
            <w:pPr>
              <w:pStyle w:val="Compact"/>
            </w:pPr>
            <w:r>
              <w:t xml:space="preserve">−0.017″ [−0.018,−0.015]</w:t>
            </w:r>
          </w:p>
        </w:tc>
        <w:tc>
          <w:tcPr/>
          <w:p>
            <w:pPr>
              <w:pStyle w:val="Compact"/>
            </w:pPr>
            <w:r>
              <w:t xml:space="preserve">0.103″</w:t>
            </w:r>
          </w:p>
        </w:tc>
        <w:tc>
          <w:tcPr/>
          <w:p>
            <w:pPr>
              <w:pStyle w:val="Compact"/>
            </w:pPr>
            <w:r>
              <w:t xml:space="preserve">+0.012″ [0.010,0.014]</w:t>
            </w:r>
          </w:p>
        </w:tc>
        <w:tc>
          <w:tcPr/>
          <w:p>
            <w:pPr>
              <w:pStyle w:val="Compact"/>
            </w:pPr>
            <w:r>
              <w:t xml:space="preserve">0.096″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&gt;1.6</w:t>
            </w:r>
          </w:p>
        </w:tc>
        <w:tc>
          <w:tcPr/>
          <w:p>
            <w:pPr>
              <w:pStyle w:val="Compact"/>
            </w:pPr>
            <w:r>
              <w:t xml:space="preserve">1035</w:t>
            </w:r>
          </w:p>
        </w:tc>
        <w:tc>
          <w:tcPr/>
          <w:p>
            <w:pPr>
              <w:pStyle w:val="Compact"/>
            </w:pPr>
            <w:r>
              <w:t xml:space="preserve">−0.017″ [−0.020,−0.014]</w:t>
            </w:r>
          </w:p>
        </w:tc>
        <w:tc>
          <w:tcPr/>
          <w:p>
            <w:pPr>
              <w:pStyle w:val="Compact"/>
            </w:pPr>
            <w:r>
              <w:t xml:space="preserve">0.105″</w:t>
            </w:r>
          </w:p>
        </w:tc>
        <w:tc>
          <w:tcPr/>
          <w:p>
            <w:pPr>
              <w:pStyle w:val="Compact"/>
            </w:pPr>
            <w:r>
              <w:t xml:space="preserve">+0.015″ [0.012,0.018]</w:t>
            </w:r>
          </w:p>
        </w:tc>
        <w:tc>
          <w:tcPr/>
          <w:p>
            <w:pPr>
              <w:pStyle w:val="Compact"/>
            </w:pPr>
            <w:r>
              <w:t xml:space="preserve">0.107″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&gt;1.8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−0.011″ [−0.019,−0.003]</w:t>
            </w:r>
          </w:p>
        </w:tc>
        <w:tc>
          <w:tcPr/>
          <w:p>
            <w:pPr>
              <w:pStyle w:val="Compact"/>
            </w:pPr>
            <w:r>
              <w:t xml:space="preserve">0.105″</w:t>
            </w:r>
          </w:p>
        </w:tc>
        <w:tc>
          <w:tcPr/>
          <w:p>
            <w:pPr>
              <w:pStyle w:val="Compact"/>
            </w:pPr>
            <w:r>
              <w:t xml:space="preserve">−0.000″ [−0.010,0.010]</w:t>
            </w:r>
          </w:p>
        </w:tc>
        <w:tc>
          <w:tcPr/>
          <w:p>
            <w:pPr>
              <w:pStyle w:val="Compact"/>
            </w:pPr>
            <w:r>
              <w:t xml:space="preserve">0.132″</w:t>
            </w:r>
          </w:p>
        </w:tc>
      </w:tr>
    </w:tbl>
    <w:p>
      <w:pPr>
        <w:pStyle w:val="BodyText"/>
      </w:pPr>
      <w:r>
        <w:rPr>
          <w:b/>
          <w:bCs/>
        </w:rPr>
        <w:t xml:space="preserve">Target for comparison:</w:t>
      </w:r>
      <w:r>
        <w:t xml:space="preserve"> </w:t>
      </w:r>
      <w:r>
        <w:t xml:space="preserve">D_rot (physical) ≈ 0.11″/0.16″/0.22″ at these same three airmass bins,</w:t>
      </w:r>
      <w:r>
        <w:t xml:space="preserve"> </w:t>
      </w:r>
      <w:r>
        <w:t xml:space="preserve">clearly growing with airmass; D_fix roughly flat at about half that scale.</w:t>
      </w:r>
    </w:p>
    <w:p>
      <w:pPr>
        <w:pStyle w:val="BodyText"/>
      </w:pPr>
      <w:r>
        <w:rPr>
          <w:b/>
          <w:bCs/>
        </w:rPr>
        <w:t xml:space="preserve">Read:</w:t>
      </w:r>
      <w:r>
        <w:t xml:space="preserve"> </w:t>
      </w:r>
      <w:r>
        <w:t xml:space="preserve">- The coherent (mean) part of the rotating component is small (~0.01–0.02″), statistically distinguishable</w:t>
      </w:r>
      <w:r>
        <w:t xml:space="preserve"> </w:t>
      </w:r>
      <w:r>
        <w:t xml:space="preserve">from zero (huge n), but</w:t>
      </w:r>
      <w:r>
        <w:t xml:space="preserve"> </w:t>
      </w:r>
      <w:r>
        <w:rPr>
          <w:b/>
          <w:bCs/>
        </w:rPr>
        <w:t xml:space="preserve">flat-to-slightly-decreasing with airmass</w:t>
      </w:r>
      <w:r>
        <w:t xml:space="preserve"> </w:t>
      </w:r>
      <w:r>
        <w:t xml:space="preserve">— not the clear tan(z) growth</w:t>
      </w:r>
      <w:r>
        <w:t xml:space="preserve"> </w:t>
      </w:r>
      <w:r>
        <w:t xml:space="preserve">D_rot shows, and only 10–15% of D_rot’s magnitude at the corresponding airmass.</w:t>
      </w:r>
      <w:r>
        <w:t xml:space="preserve"> </w:t>
      </w:r>
      <w:r>
        <w:t xml:space="preserve">- The rotating and fixed components have</w:t>
      </w:r>
      <w:r>
        <w:t xml:space="preserve"> </w:t>
      </w:r>
      <w:r>
        <w:rPr>
          <w:b/>
          <w:bCs/>
        </w:rPr>
        <w:t xml:space="preserve">similar RMS</w:t>
      </w:r>
      <w:r>
        <w:t xml:space="preserve"> </w:t>
      </w:r>
      <w:r>
        <w:t xml:space="preserve">(exposure-to-exposure scatter) at every airmass</w:t>
      </w:r>
      <w:r>
        <w:t xml:space="preserve"> </w:t>
      </w:r>
      <w:r>
        <w:t xml:space="preserve">bin, and that RMS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comparable in scale to D_rot (~0.10–0.13″) — but a scatter of similar size in</w:t>
      </w:r>
      <w:r>
        <w:t xml:space="preserve"> </w:t>
      </w:r>
      <w:r>
        <w:t xml:space="preserve">both the zenith-tied and instrument-tied directions is the signature of</w:t>
      </w:r>
      <w:r>
        <w:t xml:space="preserve"> </w:t>
      </w:r>
      <w:r>
        <w:rPr>
          <w:b/>
          <w:bCs/>
        </w:rPr>
        <w:t xml:space="preserve">exposure-to-exposure guiding</w:t>
      </w:r>
      <w:r>
        <w:rPr>
          <w:b/>
          <w:bCs/>
        </w:rPr>
        <w:t xml:space="preserve"> </w:t>
      </w:r>
      <w:r>
        <w:rPr>
          <w:b/>
          <w:bCs/>
        </w:rPr>
        <w:t xml:space="preserve">noise of a given overall scale</w:t>
      </w:r>
      <w:r>
        <w:t xml:space="preserve">, not a coherent, directional, zenith-tied bias. A real dipole needs a</w:t>
      </w:r>
      <w:r>
        <w:t xml:space="preserve"> </w:t>
      </w:r>
      <w:r>
        <w:rPr>
          <w:i/>
          <w:iCs/>
        </w:rPr>
        <w:t xml:space="preserve">persistent</w:t>
      </w:r>
      <w:r>
        <w:t xml:space="preserve"> </w:t>
      </w:r>
      <w:r>
        <w:t xml:space="preserve">mean in the rotating direction across many exposures (which is exactly what the original</w:t>
      </w:r>
      <w:r>
        <w:t xml:space="preserve"> </w:t>
      </w:r>
      <w:r>
        <w:t xml:space="preserve">D_rot fit demonstrated via its q-permutation null) — this small mean does not have that character.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This does not confirm the intra-exposure-drift hypothesis at the expected scale</w:t>
      </w:r>
      <w:r>
        <w:t xml:space="preserve">, but it is not a</w:t>
      </w:r>
      <w:r>
        <w:t xml:space="preserve"> </w:t>
      </w:r>
      <w:r>
        <w:t xml:space="preserve">clean rule-out either — the naive</w:t>
      </w:r>
      <w:r>
        <w:t xml:space="preserve"> </w:t>
      </w:r>
      <w:r>
        <w:rPr>
          <w:rStyle w:val="VerbatimChar"/>
        </w:rPr>
        <w:t xml:space="preserve">rate×duration</w:t>
      </w:r>
      <w:r>
        <w:t xml:space="preserve"> </w:t>
      </w:r>
      <w:r>
        <w:t xml:space="preserve">metric used here turned out to be the wrong quantity</w:t>
      </w:r>
      <w:r>
        <w:t xml:space="preserve"> </w:t>
      </w:r>
      <w:r>
        <w:t xml:space="preserve">entirely. See the follow-up below, which resolves this.</w:t>
      </w:r>
    </w:p>
    <w:p>
      <w:r>
        <w:pict>
          <v:rect style="width:0;height:1.5pt" o:hralign="center" o:hrstd="t" o:hr="t"/>
        </w:pict>
      </w:r>
    </w:p>
    <w:bookmarkEnd w:id="14"/>
    <w:bookmarkStart w:id="15" w:name="X3f40ab0b71793a52f5454030eb06463c9aae3a6"/>
    <w:p>
      <w:pPr>
        <w:pStyle w:val="Heading2"/>
      </w:pPr>
      <w:r>
        <w:t xml:space="preserve">Test 5 — the cross-term follow-up (resolves the #1 open item above) — 2026-08-05, same day</w:t>
      </w:r>
    </w:p>
    <w:p>
      <w:pPr>
        <w:pStyle w:val="FirstParagraph"/>
      </w:pPr>
      <w:r>
        <w:t xml:space="preserve">(Named</w:t>
      </w:r>
      <w:r>
        <w:t xml:space="preserve"> </w:t>
      </w:r>
      <w:r>
        <w:t xml:space="preserve">“Test 5”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DAR_DIPOLE_NERSC_HANDOFF.md</w:t>
      </w:r>
      <w:r>
        <w:t xml:space="preserve">’s prioritized plan; reported here since it’s a direct</w:t>
      </w:r>
      <w:r>
        <w:t xml:space="preserve"> </w:t>
      </w:r>
      <w:r>
        <w:t xml:space="preserve">follow-up to this report’s own open item and reuses this report’s method/geometry.)</w:t>
      </w:r>
    </w:p>
    <w:p>
      <w:pPr>
        <w:pStyle w:val="BodyText"/>
      </w:pPr>
      <w:r>
        <w:rPr>
          <w:b/>
          <w:bCs/>
        </w:rPr>
        <w:t xml:space="preserve">Why the rate×duration metric was wrong.</w:t>
      </w:r>
      <w:r>
        <w:t xml:space="preserve"> </w:t>
      </w:r>
      <w:r>
        <w:t xml:space="preserve">Under midpoint fiber placement, a</w:t>
      </w:r>
      <w:r>
        <w:t xml:space="preserve"> </w:t>
      </w:r>
      <w:r>
        <w:rPr>
          <w:i/>
          <w:iCs/>
        </w:rPr>
        <w:t xml:space="preserve">symmetric</w:t>
      </w:r>
      <w:r>
        <w:t xml:space="preserve"> </w:t>
      </w:r>
      <w:r>
        <w:t xml:space="preserve">linear drift</w:t>
      </w:r>
      <w:r>
        <w:t xml:space="preserve"> </w:t>
      </w:r>
      <w:r>
        <w:t xml:space="preserve">about the exposure midpoint contributes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net mean offset by construction — so</w:t>
      </w:r>
      <w:r>
        <w:t xml:space="preserve"> </w:t>
      </w:r>
      <w:r>
        <w:rPr>
          <w:rStyle w:val="VerbatimChar"/>
        </w:rPr>
        <w:t xml:space="preserve">resid(t)</w:t>
      </w:r>
      <w:r>
        <w:t xml:space="preserve">’s own</w:t>
      </w:r>
      <w:r>
        <w:t xml:space="preserve"> </w:t>
      </w:r>
      <w:r>
        <w:t xml:space="preserve">rate, multiplied by duration, cannot be the loss-dipole mechanism. The actual cross-term is</w:t>
      </w:r>
    </w:p>
    <w:p>
      <w:pPr>
        <w:pStyle w:val="SourceCode"/>
      </w:pPr>
      <w:r>
        <w:rPr>
          <w:rStyle w:val="VerbatimChar"/>
        </w:rPr>
        <w:t xml:space="preserve">dipole-gradient = &lt; M_shear(t) . T(t) &gt;_t / sigma_eff^2</w:t>
      </w:r>
    </w:p>
    <w:p>
      <w:pPr>
        <w:pStyle w:val="FirstParagraph"/>
      </w:pPr>
      <w:r>
        <w:t xml:space="preserve">where, per ETC frame,</w:t>
      </w:r>
      <w:r>
        <w:t xml:space="preserve"> </w:t>
      </w:r>
      <w:r>
        <w:rPr>
          <w:rStyle w:val="VerbatimChar"/>
        </w:rPr>
        <w:t xml:space="preserve">T(t)</w:t>
      </w:r>
      <w:r>
        <w:t xml:space="preserve"> </w:t>
      </w:r>
      <w:r>
        <w:t xml:space="preserve">= the affine translation (</w:t>
      </w:r>
      <w:r>
        <w:rPr>
          <w:rStyle w:val="VerbatimChar"/>
        </w:rPr>
        <w:t xml:space="preserve">tx,ty</w:t>
      </w:r>
      <w:r>
        <w:t xml:space="preserve"> </w:t>
      </w:r>
      <w:r>
        <w:t xml:space="preserve">— the boresight residual</w:t>
      </w:r>
      <w:r>
        <w:t xml:space="preserve"> </w:t>
      </w:r>
      <w:r>
        <w:rPr>
          <w:rStyle w:val="VerbatimChar"/>
        </w:rPr>
        <w:t xml:space="preserve">resid(t)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M_shear = [[e1,e2],[e2,-e1]]</w:t>
      </w:r>
      <w:r>
        <w:t xml:space="preserve"> </w:t>
      </w:r>
      <w:r>
        <w:t xml:space="preserve">is the affine shear — the field’s own differential-DAR term</w:t>
      </w:r>
      <w:r>
        <w:t xml:space="preserve"> </w:t>
      </w:r>
      <w:r>
        <w:rPr>
          <w:rStyle w:val="VerbatimChar"/>
        </w:rPr>
        <w:t xml:space="preserve">G(t)</w:t>
      </w:r>
      <w:r>
        <w:t xml:space="preserve">. This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time-average of a product of two correlated series</w:t>
      </w:r>
      <w:r>
        <w:t xml:space="preserve">, not the mean of either series alone — it</w:t>
      </w:r>
      <w:r>
        <w:t xml:space="preserve"> </w:t>
      </w:r>
      <w:r>
        <w:t xml:space="preserve">is nonzero even for a perfectly symmetric</w:t>
      </w:r>
      <w:r>
        <w:t xml:space="preserve"> </w:t>
      </w:r>
      <w:r>
        <w:rPr>
          <w:rStyle w:val="VerbatimChar"/>
        </w:rPr>
        <w:t xml:space="preserve">T(t)</w:t>
      </w:r>
      <w:r>
        <w:t xml:space="preserve"> </w:t>
      </w:r>
      <w:r>
        <w:t xml:space="preserve">drift, exactly the case the naive metric missed.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Re-ran the per-frame affine fit (</w:t>
      </w:r>
      <w:r>
        <w:rPr>
          <w:rStyle w:val="VerbatimChar"/>
        </w:rPr>
        <w:t xml:space="preserve">analysis/dar_dipole/affine_gfa_crossterm_test.py</w:t>
      </w:r>
      <w:r>
        <w:t xml:space="preserve">),</w:t>
      </w:r>
      <w:r>
        <w:t xml:space="preserve"> </w:t>
      </w:r>
      <w:r>
        <w:t xml:space="preserve">computing the cross-term directly from the per-frame</w:t>
      </w:r>
      <w:r>
        <w:t xml:space="preserve"> </w:t>
      </w:r>
      <w:r>
        <w:rPr>
          <w:rStyle w:val="VerbatimChar"/>
        </w:rPr>
        <w:t xml:space="preserve">(tx, ty, e1, e2)</w:t>
      </w:r>
      <w:r>
        <w:t xml:space="preserve"> </w:t>
      </w:r>
      <w:r>
        <w:t xml:space="preserve">series for every frame of every</w:t>
      </w:r>
      <w:r>
        <w:t xml:space="preserve"> </w:t>
      </w:r>
      <w:r>
        <w:t xml:space="preserve">am&gt;1.4 exposure — no linearity assumed, so any curvature in either series is captured, not just a linear</w:t>
      </w:r>
      <w:r>
        <w:t xml:space="preserve"> </w:t>
      </w:r>
      <w:r>
        <w:t xml:space="preserve">trend. Converted to a quantity</w:t>
      </w:r>
      <w:r>
        <w:t xml:space="preserve"> </w:t>
      </w:r>
      <w:r>
        <w:rPr>
          <w:b/>
          <w:bCs/>
        </w:rPr>
        <w:t xml:space="preserve">directly comparable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fit_dipole_quadrupole.py</w:t>
      </w:r>
      <w:r>
        <w:rPr>
          <w:b/>
          <w:bCs/>
        </w:rPr>
        <w:t xml:space="preserve">’s own D_rot</w:t>
      </w:r>
      <w:r>
        <w:t xml:space="preserve"> </w:t>
      </w:r>
      <w:r>
        <w:t xml:space="preserve">(its</w:t>
      </w:r>
      <w:r>
        <w:t xml:space="preserve"> </w:t>
      </w:r>
      <w:r>
        <w:t xml:space="preserve">edge value in normalized coordinates u=X/Rn): since the physical cross-term is</w:t>
      </w:r>
      <w:r>
        <w:t xml:space="preserve"> </w:t>
      </w:r>
      <w:r>
        <w:rPr>
          <w:rStyle w:val="VerbatimChar"/>
        </w:rPr>
        <w:t xml:space="preserve">(δ0·G·r)/σ²</w:t>
      </w:r>
      <w:r>
        <w:t xml:space="preserve"> </w:t>
      </w:r>
      <w:r>
        <w:t xml:space="preserve">for a</w:t>
      </w:r>
      <w:r>
        <w:t xml:space="preserve"> </w:t>
      </w:r>
      <w:r>
        <w:t xml:space="preserve">physical position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D_rot is the coefficient of</w:t>
      </w:r>
      <w:r>
        <w:t xml:space="preserve"> </w:t>
      </w:r>
      <w:r>
        <w:rPr>
          <w:rStyle w:val="VerbatimChar"/>
        </w:rPr>
        <w:t xml:space="preserve">r/Rn</w:t>
      </w:r>
      <w:r>
        <w:t xml:space="preserve">,</w:t>
      </w:r>
      <w:r>
        <w:t xml:space="preserve"> </w:t>
      </w:r>
      <w:r>
        <w:rPr>
          <w:rStyle w:val="VerbatimChar"/>
        </w:rPr>
        <w:t xml:space="preserve">D_rot_predicted = Rn · C_zenith / σ_eff²</w:t>
      </w:r>
      <w:r>
        <w:t xml:space="preserve"> </w:t>
      </w:r>
      <w:r>
        <w:t xml:space="preserve">— computed entirely in physical mm (</w:t>
      </w:r>
      <w:r>
        <w:rPr>
          <w:rStyle w:val="VerbatimChar"/>
        </w:rPr>
        <w:t xml:space="preserve">Rn=410mm</w:t>
      </w:r>
      <w:r>
        <w:t xml:space="preserve">,</w:t>
      </w:r>
      <w:r>
        <w:t xml:space="preserve"> </w:t>
      </w:r>
      <w:r>
        <w:rPr>
          <w:rStyle w:val="VerbatimChar"/>
        </w:rPr>
        <w:t xml:space="preserve">σ_eff=52μm=0.052mm</w:t>
      </w:r>
      <w:r>
        <w:t xml:space="preserve">), so no arcsec/platescale conversion</w:t>
      </w:r>
      <w:r>
        <w:t xml:space="preserve"> </w:t>
      </w:r>
      <w:r>
        <w:t xml:space="preserve">is needed for this core comparison (the earlier ~0.070 mm/arcsec approximation is now avoided</w:t>
      </w:r>
      <w:r>
        <w:t xml:space="preserve"> </w:t>
      </w:r>
      <w:r>
        <w:t xml:space="preserve">altogether, not merely replaced — the real desimodel platescale, confirmed installed and working</w:t>
      </w:r>
      <w:r>
        <w:t xml:space="preserve"> </w:t>
      </w:r>
      <w:r>
        <w:t xml:space="preserve">directly on NERSC without the manual install the Mac session needed, was pulled and used only for the</w:t>
      </w:r>
      <w:r>
        <w:t xml:space="preserve"> </w:t>
      </w:r>
      <w:r>
        <w:t xml:space="preserve">secondary arcsec-equivalent reporting below).</w:t>
      </w:r>
    </w:p>
    <w:p>
      <w:pPr>
        <w:pStyle w:val="BodyText"/>
      </w:pPr>
      <w:r>
        <w:rPr>
          <w:b/>
          <w:bCs/>
        </w:rPr>
        <w:t xml:space="preserve">Result.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 bin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D_rot_predicted [16,84]</w:t>
            </w:r>
          </w:p>
        </w:tc>
        <w:tc>
          <w:tcPr/>
          <w:p>
            <w:pPr>
              <w:pStyle w:val="Compact"/>
            </w:pPr>
            <w:r>
              <w:t xml:space="preserve">D_fix_predicted [16,84]</w:t>
            </w:r>
          </w:p>
        </w:tc>
        <w:tc>
          <w:tcPr/>
          <w:p>
            <w:pPr>
              <w:pStyle w:val="Compact"/>
            </w:pPr>
            <w:r>
              <w:t xml:space="preserve">empirical D_rot</w:t>
            </w:r>
          </w:p>
        </w:tc>
        <w:tc>
          <w:tcPr/>
          <w:p>
            <w:pPr>
              <w:pStyle w:val="Compact"/>
            </w:pPr>
            <w:r>
              <w:t xml:space="preserve">empirical D_fix</w:t>
            </w:r>
          </w:p>
        </w:tc>
        <w:tc>
          <w:tcPr/>
          <w:p>
            <w:pPr>
              <w:pStyle w:val="Compact"/>
            </w:pPr>
            <w:r>
              <w:t xml:space="preserve">fraction of D_rot explained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&gt;1.4</w:t>
            </w:r>
          </w:p>
        </w:tc>
        <w:tc>
          <w:tcPr/>
          <w:p>
            <w:pPr>
              <w:pStyle w:val="Compact"/>
            </w:pPr>
            <w:r>
              <w:t xml:space="preserve">2968</w:t>
            </w:r>
          </w:p>
        </w:tc>
        <w:tc>
          <w:tcPr/>
          <w:p>
            <w:pPr>
              <w:pStyle w:val="Compact"/>
            </w:pPr>
            <w:r>
              <w:t xml:space="preserve">0.00108 [0.00082, 0.00131]</w:t>
            </w:r>
          </w:p>
        </w:tc>
        <w:tc>
          <w:tcPr/>
          <w:p>
            <w:pPr>
              <w:pStyle w:val="Compact"/>
            </w:pPr>
            <w:r>
              <w:t xml:space="preserve">−0.00258 [−0.00292,−0.00226]</w:t>
            </w:r>
          </w:p>
        </w:tc>
        <w:tc>
          <w:tcPr/>
          <w:p>
            <w:pPr>
              <w:pStyle w:val="Compact"/>
            </w:pPr>
            <w:r>
              <w:t xml:space="preserve">0.0353</w:t>
            </w:r>
          </w:p>
        </w:tc>
        <w:tc>
          <w:tcPr/>
          <w:p>
            <w:pPr>
              <w:pStyle w:val="Compact"/>
            </w:pPr>
            <w:r>
              <w:t xml:space="preserve">0.0287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&gt;1.6</w:t>
            </w:r>
          </w:p>
        </w:tc>
        <w:tc>
          <w:tcPr/>
          <w:p>
            <w:pPr>
              <w:pStyle w:val="Compact"/>
            </w:pPr>
            <w:r>
              <w:t xml:space="preserve">1035</w:t>
            </w:r>
          </w:p>
        </w:tc>
        <w:tc>
          <w:tcPr/>
          <w:p>
            <w:pPr>
              <w:pStyle w:val="Compact"/>
            </w:pPr>
            <w:r>
              <w:t xml:space="preserve">0.00156 [0.00105, 0.00205]</w:t>
            </w:r>
          </w:p>
        </w:tc>
        <w:tc>
          <w:tcPr/>
          <w:p>
            <w:pPr>
              <w:pStyle w:val="Compact"/>
            </w:pPr>
            <w:r>
              <w:t xml:space="preserve">−0.00657 [−0.00727,−0.00589]</w:t>
            </w:r>
          </w:p>
        </w:tc>
        <w:tc>
          <w:tcPr/>
          <w:p>
            <w:pPr>
              <w:pStyle w:val="Compact"/>
            </w:pPr>
            <w:r>
              <w:t xml:space="preserve">0.0560</w:t>
            </w:r>
          </w:p>
        </w:tc>
        <w:tc>
          <w:tcPr/>
          <w:p>
            <w:pPr>
              <w:pStyle w:val="Compact"/>
            </w:pPr>
            <w:r>
              <w:t xml:space="preserve">0.0289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&gt;1.8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0.00344 [0.00175, 0.00524]</w:t>
            </w:r>
          </w:p>
        </w:tc>
        <w:tc>
          <w:tcPr/>
          <w:p>
            <w:pPr>
              <w:pStyle w:val="Compact"/>
            </w:pPr>
            <w:r>
              <w:t xml:space="preserve">−0.01312 [−0.01601,−0.01045]</w:t>
            </w:r>
          </w:p>
        </w:tc>
        <w:tc>
          <w:tcPr/>
          <w:p>
            <w:pPr>
              <w:pStyle w:val="Compact"/>
            </w:pPr>
            <w:r>
              <w:t xml:space="preserve">0.0810</w:t>
            </w:r>
          </w:p>
        </w:tc>
        <w:tc>
          <w:tcPr/>
          <w:p>
            <w:pPr>
              <w:pStyle w:val="Compact"/>
            </w:pPr>
            <w:r>
              <w:t xml:space="preserve">0.0288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</w:tr>
    </w:tbl>
    <w:p>
      <w:pPr>
        <w:pStyle w:val="BodyText"/>
      </w:pPr>
      <w:r>
        <w:t xml:space="preserve">(</w:t>
      </w:r>
      <w:r>
        <w:rPr>
          <w:rStyle w:val="VerbatimChar"/>
        </w:rPr>
        <w:t xml:space="preserve">empirical D_rot</w:t>
      </w:r>
      <w:r>
        <w:t xml:space="preserve">/</w:t>
      </w:r>
      <w:r>
        <w:rPr>
          <w:rStyle w:val="VerbatimChar"/>
        </w:rPr>
        <w:t xml:space="preserve">D_fix</w:t>
      </w:r>
      <w:r>
        <w:t xml:space="preserve"> </w:t>
      </w:r>
      <w:r>
        <w:t xml:space="preserve">here are from the Foundation-check’s fresh, independently-regenerated refit —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docs/FOUNDATION_CHECK_REPORT.md</w:t>
      </w:r>
      <w:r>
        <w:t xml:space="preserve"> </w:t>
      </w:r>
      <w:r>
        <w:t xml:space="preserve">— not the original committed-parquet numbers, though they agree to</w:t>
      </w:r>
      <w:r>
        <w:t xml:space="preserve"> </w:t>
      </w:r>
      <w:r>
        <w:t xml:space="preserve">2-3 significant figures.) In arcsec-equivalent terms (via the same</w:t>
      </w:r>
      <w:r>
        <w:t xml:space="preserve"> </w:t>
      </w:r>
      <w:r>
        <w:rPr>
          <w:rStyle w:val="VerbatimChar"/>
        </w:rPr>
        <w:t xml:space="preserve">δ0 = D_rot·σ_eff/√(2·Q_rot)</w:t>
      </w:r>
      <w:r>
        <w:t xml:space="preserve"> </w:t>
      </w:r>
      <w:r>
        <w:t xml:space="preserve">conversion used throughout this investigation, plugging in the measured, empirical Q_rot per bin): the</w:t>
      </w:r>
      <w:r>
        <w:t xml:space="preserve"> </w:t>
      </w:r>
      <w:r>
        <w:t xml:space="preserve">predicted δ0 is</w:t>
      </w:r>
      <w:r>
        <w:t xml:space="preserve"> </w:t>
      </w:r>
      <w:r>
        <w:rPr>
          <w:b/>
          <w:bCs/>
        </w:rPr>
        <w:t xml:space="preserve">0.30 / 0.34 / 0.59 μm</w:t>
      </w:r>
      <w:r>
        <w:t xml:space="preserve">, against a measured/target δ0 of</w:t>
      </w:r>
      <w:r>
        <w:t xml:space="preserve"> </w:t>
      </w:r>
      <w:r>
        <w:rPr>
          <w:b/>
          <w:bCs/>
        </w:rPr>
        <w:t xml:space="preserve">9.8 / 12.2 / 13.8 μm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Read.</w:t>
      </w:r>
      <w:r>
        <w:t xml:space="preserve"> </w:t>
      </w:r>
      <w:r>
        <w:t xml:space="preserve">This is a real, non-null result, and it is informative — but it is not the win condition.</w:t>
      </w:r>
      <w:r>
        <w:t xml:space="preserve"> </w:t>
      </w:r>
      <w:r>
        <w:t xml:space="preserve">- The zenith component</w:t>
      </w:r>
      <w:r>
        <w:t xml:space="preserve"> </w:t>
      </w:r>
      <w:r>
        <w:rPr>
          <w:rStyle w:val="VerbatimChar"/>
        </w:rPr>
        <w:t xml:space="preserve">D_rot_predicted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statistically distinguishable from zero at every airmass</w:t>
      </w:r>
      <w:r>
        <w:t xml:space="preserve"> </w:t>
      </w:r>
      <w:r>
        <w:t xml:space="preserve">bin (bootstrap CI never crosses zero) and</w:t>
      </w:r>
      <w:r>
        <w:t xml:space="preserve"> </w:t>
      </w:r>
      <w:r>
        <w:rPr>
          <w:b/>
          <w:bCs/>
        </w:rPr>
        <w:t xml:space="preserve">does grow with airmass</w:t>
      </w:r>
      <w:r>
        <w:t xml:space="preserve"> </w:t>
      </w:r>
      <w:r>
        <w:t xml:space="preserve">— in fact its</w:t>
      </w:r>
      <w:r>
        <w:t xml:space="preserve"> </w:t>
      </w:r>
      <w:r>
        <w:rPr>
          <w:i/>
          <w:iCs/>
        </w:rPr>
        <w:t xml:space="preserve">fractional</w:t>
      </w:r>
      <w:r>
        <w:t xml:space="preserve"> </w:t>
      </w:r>
      <w:r>
        <w:t xml:space="preserve">share</w:t>
      </w:r>
      <w:r>
        <w:t xml:space="preserve"> </w:t>
      </w:r>
      <w:r>
        <w:t xml:space="preserve">of D_rot grows too (3.1% → 2.8% → 4.2%), meaning it grows somewhat faster than D_rot itself.</w:t>
      </w:r>
      <w:r>
        <w:t xml:space="preserve"> </w:t>
      </w:r>
      <w:r>
        <w:t xml:space="preserve">- But it accounts for only</w:t>
      </w:r>
      <w:r>
        <w:t xml:space="preserve"> </w:t>
      </w:r>
      <w:r>
        <w:rPr>
          <w:b/>
          <w:bCs/>
        </w:rPr>
        <w:t xml:space="preserve">~3–4% of D_rot’s actual magnitude</w:t>
      </w:r>
      <w:r>
        <w:t xml:space="preserve"> </w:t>
      </w:r>
      <w:r>
        <w:t xml:space="preserve">— nowhere near matching D_rot’s scale,</w:t>
      </w:r>
      <w:r>
        <w:t xml:space="preserve"> </w:t>
      </w:r>
      <w:r>
        <w:t xml:space="preserve">which was the explicit win condition. The intra-exposure guiding-residual-drift-times-differential-DAR</w:t>
      </w:r>
      <w:r>
        <w:t xml:space="preserve"> </w:t>
      </w:r>
      <w:r>
        <w:t xml:space="preserve">mechanism, as measured through this specific channel, is real but small, not dominant.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Unexpected wrinkle</w:t>
      </w:r>
      <w:r>
        <w:t xml:space="preserve">: the</w:t>
      </w:r>
      <w:r>
        <w:t xml:space="preserve"> </w:t>
      </w:r>
      <w:r>
        <w:t xml:space="preserve">“fixed”</w:t>
      </w:r>
      <w:r>
        <w:t xml:space="preserve"> </w:t>
      </w:r>
      <w:r>
        <w:t xml:space="preserve">(instrument-tied) component</w:t>
      </w:r>
      <w:r>
        <w:t xml:space="preserve"> </w:t>
      </w:r>
      <w:r>
        <w:rPr>
          <w:rStyle w:val="VerbatimChar"/>
        </w:rPr>
        <w:t xml:space="preserve">D_fix_predicted</w:t>
      </w:r>
      <w:r>
        <w:t xml:space="preserve"> </w:t>
      </w:r>
      <w:r>
        <w:t xml:space="preserve">is larger than the</w:t>
      </w:r>
      <w:r>
        <w:t xml:space="preserve"> </w:t>
      </w:r>
      <w:r>
        <w:t xml:space="preserve">zenith component at every bin and grows</w:t>
      </w:r>
      <w:r>
        <w:t xml:space="preserve"> </w:t>
      </w:r>
      <w:r>
        <w:rPr>
          <w:i/>
          <w:iCs/>
        </w:rPr>
        <w:t xml:space="preserve">faster</w:t>
      </w:r>
      <w:r>
        <w:t xml:space="preserve"> </w:t>
      </w:r>
      <w:r>
        <w:t xml:space="preserve">with airmass (roughly 5× from am&gt;1.4 to am&gt;1.8) — the</w:t>
      </w:r>
      <w:r>
        <w:t xml:space="preserve"> </w:t>
      </w:r>
      <w:r>
        <w:t xml:space="preserve">opposite of what a purely zenith/DAR-tied mechanism would predict, and also inconsistent with the</w:t>
      </w:r>
      <w:r>
        <w:t xml:space="preserve"> </w:t>
      </w:r>
      <w:r>
        <w:t xml:space="preserve">empirical D_fix’s flat behavior. This suggests whatever this cross-term is picking up isn’t cleanly</w:t>
      </w:r>
      <w:r>
        <w:t xml:space="preserve"> </w:t>
      </w:r>
      <w:r>
        <w:t xml:space="preserve">aligned with the zenith direction the way the hypothesis predicted — an open, unexplained feature of</w:t>
      </w:r>
      <w:r>
        <w:t xml:space="preserve"> </w:t>
      </w:r>
      <w:r>
        <w:t xml:space="preserve">this result, not just a subdominant-but-otherwise-clean signal.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Internal consistency check, for confidence in the pipeline</w:t>
      </w:r>
      <w:r>
        <w:t xml:space="preserve">: the mean shear magnitude measured here</w:t>
      </w:r>
      <w:r>
        <w:t xml:space="preserve"> </w:t>
      </w:r>
      <w:r>
        <w:t xml:space="preserve">(~1×10⁻⁵, dimensionless) is the right order of magnitude for the independently-known ΔG (edge-motion</w:t>
      </w:r>
      <w:r>
        <w:t xml:space="preserve"> </w:t>
      </w:r>
      <w:r>
        <w:t xml:space="preserve">amplitude, ~8–16 μm across this airmass range, from</w:t>
      </w:r>
      <w:r>
        <w:t xml:space="preserve"> </w:t>
      </w:r>
      <w:r>
        <w:rPr>
          <w:rStyle w:val="VerbatimChar"/>
        </w:rPr>
        <w:t xml:space="preserve">quad_compare_weiner_kirkby.py</w:t>
      </w:r>
      <w:r>
        <w:t xml:space="preserve">’s Q_rot-based</w:t>
      </w:r>
      <w:r>
        <w:t xml:space="preserve"> </w:t>
      </w:r>
      <w:r>
        <w:t xml:space="preserve">conversion, i.e. ΔG/Rn ≈ 2–4×10⁻⁵) — so the shear channel is measuring something physically sensible.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smallness of the cross-term</w:t>
      </w:r>
      <w:r>
        <w:t xml:space="preserve"> </w:t>
      </w:r>
      <w:r>
        <w:t xml:space="preserve">is therefore a genuine finding (T(t) and shear(t) are not strongly</w:t>
      </w:r>
      <w:r>
        <w:t xml:space="preserve"> </w:t>
      </w:r>
      <w:r>
        <w:t xml:space="preserve">time-correlated at this exposure-averaged level), not an artifact of either channel being broken.</w:t>
      </w:r>
    </w:p>
    <w:p>
      <w:pPr>
        <w:pStyle w:val="BodyText"/>
      </w:pPr>
      <w:r>
        <w:rPr>
          <w:b/>
          <w:bCs/>
        </w:rPr>
        <w:t xml:space="preserve">Per the user’s own decision framework for this test</w:t>
      </w:r>
      <w:r>
        <w:t xml:space="preserve">: this is the</w:t>
      </w:r>
      <w:r>
        <w:t xml:space="preserve"> </w:t>
      </w:r>
      <w:r>
        <w:t xml:space="preserve">“flat/small → it isn’t (or isn’t</w:t>
      </w:r>
      <w:r>
        <w:t xml:space="preserve"> </w:t>
      </w:r>
      <w:r>
        <w:t xml:space="preserve">dominant)”</w:t>
      </w:r>
      <w:r>
        <w:t xml:space="preserve"> </w:t>
      </w:r>
      <w:r>
        <w:t xml:space="preserve">outcome, not the</w:t>
      </w:r>
      <w:r>
        <w:t xml:space="preserve"> </w:t>
      </w:r>
      <w:r>
        <w:t xml:space="preserve">“matches D_rot’s scale and sign”</w:t>
      </w:r>
      <w:r>
        <w:t xml:space="preserve"> </w:t>
      </w:r>
      <w:r>
        <w:t xml:space="preserve">win.</w:t>
      </w:r>
      <w:r>
        <w:t xml:space="preserve"> </w:t>
      </w:r>
      <w:r>
        <w:rPr>
          <w:b/>
          <w:bCs/>
        </w:rPr>
        <w:t xml:space="preserve">The remaining candidates are the</w:t>
      </w:r>
      <w:r>
        <w:rPr>
          <w:b/>
          <w:bCs/>
        </w:rPr>
        <w:t xml:space="preserve"> </w:t>
      </w:r>
      <w:r>
        <w:rPr>
          <w:b/>
          <w:bCs/>
        </w:rPr>
        <w:t xml:space="preserve">guide≠science boresight bias or the absolute-pointing residual</w:t>
      </w:r>
      <w:r>
        <w:t xml:space="preserve"> </w:t>
      </w:r>
      <w:r>
        <w:t xml:space="preserve">(per the original Test 4 spec) — this</w:t>
      </w:r>
      <w:r>
        <w:t xml:space="preserve"> </w:t>
      </w:r>
      <w:r>
        <w:t xml:space="preserve">specific mechanism, at least as measured through the ETC-per-GFA channel over full-exposure time</w:t>
      </w:r>
      <w:r>
        <w:t xml:space="preserve"> </w:t>
      </w:r>
      <w:r>
        <w:t xml:space="preserve">averages, is not the dominant source of D_rot.</w:t>
      </w:r>
    </w:p>
    <w:p>
      <w:pPr>
        <w:pStyle w:val="BodyText"/>
      </w:pPr>
      <w:r>
        <w:rPr>
          <w:b/>
          <w:bCs/>
        </w:rPr>
        <w:t xml:space="preserve">Caveats specific to this cross-term result</w:t>
      </w:r>
      <w:r>
        <w:t xml:space="preserve"> </w:t>
      </w:r>
      <w:r>
        <w:t xml:space="preserve">(in addition to the general ones below):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gfadeform.dat</w:t>
      </w:r>
      <w:r>
        <w:rPr>
          <w:b/>
          <w:bCs/>
        </w:rPr>
        <w:t xml:space="preserve">’s intra-exposure change was checked quantitatively this time, not hand-waved.</w:t>
      </w:r>
      <w:r>
        <w:t xml:space="preserve"> </w:t>
      </w:r>
      <w:r>
        <w:t xml:space="preserve">For a</w:t>
      </w:r>
      <w:r>
        <w:t xml:space="preserve"> </w:t>
      </w:r>
      <w:r>
        <w:t xml:space="preserve">representative high-airmass exposure (HA 1.26°→7.15° over 23.5 min, airmass 1.985→2.007), the</w:t>
      </w:r>
      <w:r>
        <w:t xml:space="preserve"> </w:t>
      </w:r>
      <w:r>
        <w:t xml:space="preserve">PlateMaker/Dervish-world gravity-deformation model’s net boresight prediction changes by only</w:t>
      </w:r>
      <w:r>
        <w:t xml:space="preserve"> </w:t>
      </w:r>
      <w:r>
        <w:rPr>
          <w:b/>
          <w:bCs/>
        </w:rPr>
        <w:t xml:space="preserve">~0.44</w:t>
      </w:r>
      <w:r>
        <w:rPr>
          <w:b/>
          <w:bCs/>
        </w:rPr>
        <w:t xml:space="preserve"> </w:t>
      </w:r>
      <w:r>
        <w:rPr>
          <w:b/>
          <w:bCs/>
        </w:rPr>
        <w:t xml:space="preserve">μm</w:t>
      </w:r>
      <w:r>
        <w:t xml:space="preserve"> </w:t>
      </w:r>
      <w:r>
        <w:t xml:space="preserve">over the exposure — small compared to the ~6–9 μm measured T(t) scatter for the same exposure, and</w:t>
      </w:r>
      <w:r>
        <w:t xml:space="preserve"> </w:t>
      </w:r>
      <w:r>
        <w:t xml:space="preserve">its absolute value (~2 μm) matches the already-established, already-ruled-out gravity-deformation</w:t>
      </w:r>
      <w:r>
        <w:t xml:space="preserve"> </w:t>
      </w:r>
      <w:r>
        <w:t xml:space="preserve">finding almost exactly (confirms the original</w:t>
      </w:r>
      <w:r>
        <w:t xml:space="preserve"> </w:t>
      </w:r>
      <w:r>
        <w:rPr>
          <w:rStyle w:val="VerbatimChar"/>
        </w:rPr>
        <w:t xml:space="preserve">net_boresight_gfadeform.py</w:t>
      </w:r>
      <w:r>
        <w:t xml:space="preserve"> </w:t>
      </w:r>
      <w:r>
        <w:t xml:space="preserve">computation reproduces</w:t>
      </w:r>
      <w:r>
        <w:t xml:space="preserve"> </w:t>
      </w:r>
      <w:r>
        <w:t xml:space="preserve">correctly on NERSC).</w:t>
      </w:r>
      <w:r>
        <w:t xml:space="preserve"> </w:t>
      </w:r>
      <w:r>
        <w:rPr>
          <w:b/>
          <w:bCs/>
        </w:rPr>
        <w:t xml:space="preserve">However</w:t>
      </w:r>
      <w:r>
        <w:t xml:space="preserve">:</w:t>
      </w:r>
      <w:r>
        <w:t xml:space="preserve"> </w:t>
      </w:r>
      <w:r>
        <w:rPr>
          <w:rStyle w:val="VerbatimChar"/>
        </w:rPr>
        <w:t xml:space="preserve">gfadeform.dat</w:t>
      </w:r>
      <w:r>
        <w:t xml:space="preserve"> </w:t>
      </w:r>
      <w:r>
        <w:t xml:space="preserve">is PlateMaker/Dervish-world, while this test’s CS5</w:t>
      </w:r>
      <w:r>
        <w:t xml:space="preserve"> </w:t>
      </w:r>
      <w:r>
        <w:t xml:space="preserve">geometry and per-frame measurement is desimeter/desietc-world — two independently-developed codebases</w:t>
      </w:r>
      <w:r>
        <w:t xml:space="preserve"> </w:t>
      </w:r>
      <w:r>
        <w:t xml:space="preserve">answering related but not identical questions about the same physical GFAs. This check assumes the</w:t>
      </w:r>
      <w:r>
        <w:t xml:space="preserve"> </w:t>
      </w:r>
      <w:r>
        <w:t xml:space="preserve">gravity-deformation effect is comparable across both pipelines; that cross-pipeline correspondence is</w:t>
      </w:r>
      <w:r>
        <w:t xml:space="preserve"> </w:t>
      </w:r>
      <w:r>
        <w:t xml:space="preserve">physically reasonable but not independently proven here.</w:t>
      </w:r>
      <w:r>
        <w:t xml:space="preserve"> </w:t>
      </w:r>
      <w:r>
        <w:t xml:space="preserve">- The cross-term’s sign/rotation convention reuses</w:t>
      </w:r>
      <w:r>
        <w:t xml:space="preserve"> </w:t>
      </w:r>
      <w:r>
        <w:rPr>
          <w:rStyle w:val="VerbatimChar"/>
        </w:rPr>
        <w:t xml:space="preserve">fit_dipole_quadrupole.py</w:t>
      </w:r>
      <w:r>
        <w:t xml:space="preserve">’s exact q-convention</w:t>
      </w:r>
      <w:r>
        <w:t xml:space="preserve"> </w:t>
      </w:r>
      <w:r>
        <w:t xml:space="preserve">(appropriate since CS5 is the same focal-plane-fixed frame family) — not re-verified independently for</w:t>
      </w:r>
      <w:r>
        <w:t xml:space="preserve"> </w:t>
      </w:r>
      <w:r>
        <w:t xml:space="preserve">this specific derived quantity.</w:t>
      </w:r>
    </w:p>
    <w:p>
      <w:r>
        <w:pict>
          <v:rect style="width:0;height:1.5pt" o:hralign="center" o:hrstd="t" o:hr="t"/>
        </w:pict>
      </w:r>
    </w:p>
    <w:bookmarkEnd w:id="15"/>
    <w:bookmarkStart w:id="16" w:name="X731b1bc3ab6aee33cf218359a2d892cb3b60949"/>
    <w:p>
      <w:pPr>
        <w:pStyle w:val="Heading2"/>
      </w:pPr>
      <w:r>
        <w:t xml:space="preserve">Caveats (read before trusting either result)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gfadeform.dat</w:t>
      </w:r>
      <w:r>
        <w:rPr>
          <w:b/>
          <w:bCs/>
        </w:rPr>
        <w:t xml:space="preserve">’s intra-exposure change</w:t>
      </w:r>
      <w:r>
        <w:t xml:space="preserve">: checked quantitatively for the cross-term follow-up above</w:t>
      </w:r>
      <w:r>
        <w:t xml:space="preserve"> </w:t>
      </w:r>
      <w:r>
        <w:t xml:space="preserve">(found small); not separately re-checked for the rotation channel’s residual-rate result.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Platescale (0.0700 mm/arcsec) was an approximation</w:t>
      </w:r>
      <w:r>
        <w:t xml:space="preserve"> </w:t>
      </w:r>
      <w:r>
        <w:t xml:space="preserve">in the original translation-channel calculation</w:t>
      </w:r>
      <w:r>
        <w:t xml:space="preserve"> </w:t>
      </w:r>
      <w:r>
        <w:t xml:space="preserve">above — superseded in the cross-term follow-up, which avoids needing a platescale conversion for its</w:t>
      </w:r>
      <w:r>
        <w:t xml:space="preserve"> </w:t>
      </w:r>
      <w:r>
        <w:t xml:space="preserve">core result entirely (working in physical mm throughout) and uses the real desimodel platescale for</w:t>
      </w:r>
      <w:r>
        <w:t xml:space="preserve"> </w:t>
      </w:r>
      <w:r>
        <w:t xml:space="preserve">its secondary arcsec-equivalent reporting.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Only a linear-in-time drift model was fit</w:t>
      </w:r>
      <w:r>
        <w:t xml:space="preserve"> </w:t>
      </w:r>
      <w:r>
        <w:t xml:space="preserve">for the rotation channel and the original (now-superseded)</w:t>
      </w:r>
      <w:r>
        <w:t xml:space="preserve"> </w:t>
      </w:r>
      <w:r>
        <w:t xml:space="preserve">translation-channel metric, by agreement — the cross-term follow-up avoids this by computing directly</w:t>
      </w:r>
      <w:r>
        <w:t xml:space="preserve"> </w:t>
      </w:r>
      <w:r>
        <w:t xml:space="preserve">from the per-frame series, not a linear fit.</w:t>
      </w:r>
    </w:p>
    <w:p>
      <w:pPr>
        <w:pStyle w:val="Compact"/>
        <w:numPr>
          <w:ilvl w:val="0"/>
          <w:numId w:val="1004"/>
        </w:numPr>
      </w:pPr>
      <w:r>
        <w:t xml:space="preserve">The low-airmass exposure’s weaker ETC-vs-guider correlation (r=0.57 vs 0.91) has a plausible but</w:t>
      </w:r>
      <w:r>
        <w:t xml:space="preserve"> </w:t>
      </w:r>
      <w:r>
        <w:t xml:space="preserve">unconfirmed explanation (lower true-signal amplitude near zenith) — not independently checked with a</w:t>
      </w:r>
      <w:r>
        <w:t xml:space="preserve"> </w:t>
      </w:r>
      <w:r>
        <w:t xml:space="preserve">third exposure or an SNR-based argument.</w:t>
      </w:r>
    </w:p>
    <w:p>
      <w:pPr>
        <w:pStyle w:val="Compact"/>
        <w:numPr>
          <w:ilvl w:val="0"/>
          <w:numId w:val="1004"/>
        </w:numPr>
      </w:pPr>
      <w:r>
        <w:t xml:space="preserve">The rotation-channel comparison to</w:t>
      </w:r>
      <w:r>
        <w:t xml:space="preserve"> </w:t>
      </w:r>
      <w:r>
        <w:rPr>
          <w:rStyle w:val="VerbatimChar"/>
        </w:rPr>
        <w:t xml:space="preserve">FIELD_ROTATION_REPORT.md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a controlled, apples-to-apples</w:t>
      </w:r>
      <w:r>
        <w:rPr>
          <w:b/>
          <w:bCs/>
        </w:rPr>
        <w:t xml:space="preserve"> </w:t>
      </w:r>
      <w:r>
        <w:rPr>
          <w:b/>
          <w:bCs/>
        </w:rPr>
        <w:t xml:space="preserve">re-test</w:t>
      </w:r>
      <w:r>
        <w:t xml:space="preserve"> </w:t>
      </w:r>
      <w:r>
        <w:t xml:space="preserve">of that report’s own recalibrated model or its specific candidate drivers (weather, TCS</w:t>
      </w:r>
      <w:r>
        <w:t xml:space="preserve"> </w:t>
      </w:r>
      <w:r>
        <w:t xml:space="preserve">correction magnitude) — it’s a first-look comparison of raw residual statistics, not a rerun of Part 5’s</w:t>
      </w:r>
      <w:r>
        <w:t xml:space="preserve"> </w:t>
      </w:r>
      <w:r>
        <w:t xml:space="preserve">methodology on the new channel.</w:t>
      </w:r>
    </w:p>
    <w:p>
      <w:r>
        <w:pict>
          <v:rect style="width:0;height:1.5pt" o:hralign="center" o:hrstd="t" o:hr="t"/>
        </w:pict>
      </w:r>
    </w:p>
    <w:bookmarkEnd w:id="16"/>
    <w:bookmarkStart w:id="17" w:name="conclusion"/>
    <w:p>
      <w:pPr>
        <w:pStyle w:val="Heading2"/>
      </w:pPr>
      <w:r>
        <w:t xml:space="preserve">Conclusion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Field rotation</w:t>
      </w:r>
      <w:r>
        <w:t xml:space="preserve">: the improved-precision residual reproduces the same small airmass-correlated trend</w:t>
      </w:r>
      <w:r>
        <w:t xml:space="preserve"> </w:t>
      </w:r>
      <w:r>
        <w:rPr>
          <w:rStyle w:val="VerbatimChar"/>
        </w:rPr>
        <w:t xml:space="preserve">FIELD_ROTATION_REPORT.md</w:t>
      </w:r>
      <w:r>
        <w:t xml:space="preserve"> </w:t>
      </w:r>
      <w:r>
        <w:t xml:space="preserve">already found and dismissed — consistent with, not a challenge to, the</w:t>
      </w:r>
      <w:r>
        <w:t xml:space="preserve"> </w:t>
      </w:r>
      <w:r>
        <w:t xml:space="preserve">existing</w:t>
      </w:r>
      <w:r>
        <w:t xml:space="preserve"> </w:t>
      </w:r>
      <w:r>
        <w:t xml:space="preserve">“static model, no dynamic correction”</w:t>
      </w:r>
      <w:r>
        <w:t xml:space="preserve"> </w:t>
      </w:r>
      <w:r>
        <w:t xml:space="preserve">recommendation, on the evidence gathered here. Not</w:t>
      </w:r>
      <w:r>
        <w:t xml:space="preserve"> </w:t>
      </w:r>
      <w:r>
        <w:t xml:space="preserve">decisive (no controlled re-test of Part 5’s specific candidate drivers was done).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DAR dipole — now decisive, resolving the original open item.</w:t>
      </w:r>
      <w:r>
        <w:t xml:space="preserve"> </w:t>
      </w:r>
      <w:r>
        <w:t xml:space="preserve">The naive translation-drift proxy</w:t>
      </w:r>
      <w:r>
        <w:t xml:space="preserve"> </w:t>
      </w:r>
      <w:r>
        <w:t xml:space="preserve">(rate×duration) was the wrong quantity; the correct cross-term</w:t>
      </w:r>
      <w:r>
        <w:t xml:space="preserve"> </w:t>
      </w:r>
      <w:r>
        <w:t xml:space="preserve">(</w:t>
      </w:r>
      <w:r>
        <w:rPr>
          <w:rStyle w:val="VerbatimChar"/>
        </w:rPr>
        <w:t xml:space="preserve">⟨M_shear(t)·T(t)⟩/σ_eff²</w:t>
      </w:r>
      <w:r>
        <w:t xml:space="preserve">, computed directly from the per-frame series) is real, statistically</w:t>
      </w:r>
      <w:r>
        <w:t xml:space="preserve"> </w:t>
      </w:r>
      <w:r>
        <w:t xml:space="preserve">significant, and grows with airmass — but explains only</w:t>
      </w:r>
      <w:r>
        <w:t xml:space="preserve"> </w:t>
      </w:r>
      <w:r>
        <w:rPr>
          <w:b/>
          <w:bCs/>
        </w:rPr>
        <w:t xml:space="preserve">~3–4% of D_rot’s magnitude</w:t>
      </w:r>
      <w:r>
        <w:t xml:space="preserve">, with an</w:t>
      </w:r>
      <w:r>
        <w:t xml:space="preserve"> </w:t>
      </w:r>
      <w:r>
        <w:t xml:space="preserve">unexplained wrinkle (its</w:t>
      </w:r>
      <w:r>
        <w:t xml:space="preserve"> </w:t>
      </w:r>
      <w:r>
        <w:t xml:space="preserve">“fixed”</w:t>
      </w:r>
      <w:r>
        <w:t xml:space="preserve">-direction component is larger and grows faster than its zenith</w:t>
      </w:r>
      <w:r>
        <w:t xml:space="preserve"> </w:t>
      </w:r>
      <w:r>
        <w:t xml:space="preserve">component, which the pure hypothesis didn’t predict).</w:t>
      </w:r>
      <w:r>
        <w:t xml:space="preserve"> </w:t>
      </w:r>
      <w:r>
        <w:rPr>
          <w:b/>
          <w:bCs/>
        </w:rPr>
        <w:t xml:space="preserve">This intra-exposure guiding-residual-drift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mechanism, as measured through the ETC-per-GFA channel, is real but not the dominant source of D_rot.</w:t>
      </w:r>
    </w:p>
    <w:p>
      <w:pPr>
        <w:pStyle w:val="FirstParagraph"/>
      </w:pPr>
      <w:r>
        <w:rPr>
          <w:b/>
          <w:bCs/>
        </w:rPr>
        <w:t xml:space="preserve">Credible next steps:</w:t>
      </w:r>
      <w:r>
        <w:t xml:space="preserve"> </w:t>
      </w:r>
      <w:r>
        <w:t xml:space="preserve">(1) the DAR dipole thread’s remaining candidates, per the original Test 4 spec,</w:t>
      </w:r>
      <w:r>
        <w:t xml:space="preserve"> </w:t>
      </w:r>
      <w:r>
        <w:t xml:space="preserve">are the guide≠science boresight bias or the absolute-pointing/acquisition-astrometry residual (Test 1’s</w:t>
      </w:r>
      <w:r>
        <w:t xml:space="preserve"> </w:t>
      </w:r>
      <w:r>
        <w:t xml:space="preserve">original target, still not resolved at the needed precision — see that test’s status in</w:t>
      </w:r>
      <w:r>
        <w:t xml:space="preserve"> </w:t>
      </w:r>
      <w:r>
        <w:rPr>
          <w:rStyle w:val="VerbatimChar"/>
        </w:rPr>
        <w:t xml:space="preserve">DAR_DIPOLE_NERSC_HANDOFF.md</w:t>
      </w:r>
      <w:r>
        <w:t xml:space="preserve">); the unexplained</w:t>
      </w:r>
      <w:r>
        <w:t xml:space="preserve"> </w:t>
      </w:r>
      <w:r>
        <w:t xml:space="preserve">“fixed exceeds rotating”</w:t>
      </w:r>
      <w:r>
        <w:t xml:space="preserve"> </w:t>
      </w:r>
      <w:r>
        <w:t xml:space="preserve">wrinkle in the cross-term result</w:t>
      </w:r>
      <w:r>
        <w:t xml:space="preserve"> </w:t>
      </w:r>
      <w:r>
        <w:t xml:space="preserve">is itself worth understanding before moving on, since it suggests this channel is picking up something</w:t>
      </w:r>
      <w:r>
        <w:t xml:space="preserve"> </w:t>
      </w:r>
      <w:r>
        <w:t xml:space="preserve">real that isn’t cleanly the zenith-tied mechanism hypothesized. (2) re-test</w:t>
      </w:r>
      <w:r>
        <w:t xml:space="preserve"> </w:t>
      </w:r>
      <w:r>
        <w:rPr>
          <w:rStyle w:val="VerbatimChar"/>
        </w:rPr>
        <w:t xml:space="preserve">FIELD_ROTATION_REPORT.md</w:t>
      </w:r>
      <w:r>
        <w:t xml:space="preserve"> </w:t>
      </w:r>
      <w:r>
        <w:t xml:space="preserve">Part 5’s specific candidate drivers using this lower-noise channel before concluding anything new about</w:t>
      </w:r>
      <w:r>
        <w:t xml:space="preserve"> </w:t>
      </w:r>
      <w:r>
        <w:t xml:space="preserve">the static-vs-dynamic rotation question.</w:t>
      </w:r>
    </w:p>
    <w:bookmarkEnd w:id="17"/>
    <w:bookmarkStart w:id="18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docs/DAR_DIPOLE_NERSC_HANDOFF.md</w:t>
      </w:r>
      <w:r>
        <w:t xml:space="preserve"> </w:t>
      </w:r>
      <w:r>
        <w:t xml:space="preserve">(Test 1/Test 4 definitions; this report is Test 4’s writeup).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docs/FIELD_ROTATION_REPORT.md</w:t>
      </w:r>
      <w:r>
        <w:t xml:space="preserve"> </w:t>
      </w:r>
      <w:r>
        <w:t xml:space="preserve">(Part 5, the static-vs-dynamic rotation question this partially revisits).</w:t>
      </w:r>
    </w:p>
    <w:p>
      <w:pPr>
        <w:pStyle w:val="Compact"/>
        <w:numPr>
          <w:ilvl w:val="0"/>
          <w:numId w:val="1006"/>
        </w:numPr>
      </w:pPr>
      <w:r>
        <w:t xml:space="preserve">Memory:</w:t>
      </w:r>
      <w:r>
        <w:t xml:space="preserve"> </w:t>
      </w:r>
      <w:r>
        <w:rPr>
          <w:rStyle w:val="VerbatimChar"/>
        </w:rPr>
        <w:t xml:space="preserve">dar-guider-bias-hypothesis</w:t>
      </w:r>
      <w:r>
        <w:t xml:space="preserve"> </w:t>
      </w:r>
      <w:r>
        <w:t xml:space="preserve">(full evolving record, including the correct-placement cross-term</w:t>
      </w:r>
      <w:r>
        <w:t xml:space="preserve"> </w:t>
      </w:r>
      <w:r>
        <w:t xml:space="preserve">reasoning behind the caveat above),</w:t>
      </w:r>
      <w:r>
        <w:t xml:space="preserve"> </w:t>
      </w:r>
      <w:r>
        <w:rPr>
          <w:rStyle w:val="VerbatimChar"/>
        </w:rPr>
        <w:t xml:space="preserve">field-rotation-report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2026-08-05T18:14:44Z</dcterms:created>
  <dcterms:modified xsi:type="dcterms:W3CDTF">2026-08-05T18:14:44Z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