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64ff5bd895854da89753759a82a40882a1ec6a68.png"/>
            <a:graphic>
              <a:graphicData uri="http://schemas.openxmlformats.org/drawingml/2006/picture">
                <pic:pic>
                  <pic:nvPicPr>
                    <pic:cNvPr id="1" name="image-64ff5bd895854da89753759a82a40882a1ec6a68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&lt;q&gt;следующим шагом можно оформить это как готовый DOC/TEX/Markdown‑файл ТЗ с титулом, листом согласования и номерами разделов — под ваш стандарт документации.&lt;/q&gt; Можем ли начать с внутриведомственной презентации актуальности темы «КЛИМАТИЧЕСКАЯ АНОМАЛИЯ → ДЕГРАДАЦИЯ ММГ → ЧС → нужна реакция МЧС», затем сделать обзор источников в пространстве [https://www.perplexity.ai/spaces/permafrost-vgyDcQvgSimxIaWMEn1ygw](https://www.perplexity.ai/spaces/permafrost-vgyDcQvgSimxIaWMEn1ygw), затеи проект технического задания и в финале ТЗ по стандартам ГО ЧС МЧС?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Да, такая поэтапная траектория выглядит очень логично и методически «мягче», чем сразу заходить в формальное ТЗ. Она хорошо согласуется и с научной повесткой по ММГ, и с актуальными для МЧС рисками. Ниже предлагаю конкретный план из четырёх продуктов и порядок работ.</w:t>
      </w:r>
      <w:bookmarkStart w:id="0" w:name="fnref1"/>
      <w:bookmarkEnd w:id="0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1" w:name="fnref2"/>
      <w:bookmarkEnd w:id="1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2" w:name="fnref3"/>
      <w:bookmarkEnd w:id="2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3" w:name="fnref4"/>
      <w:bookmarkEnd w:id="3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bm_1_внутриведомственная_презента_9c19fc"/>
      <w:r>
        <w:rPr>
          <w:rFonts w:eastAsia="georgia" w:cs="georgia" w:ascii="georgia" w:hAnsi="georgia"/>
          <w:b/>
          <w:color w:val="000000"/>
          <w:sz w:val="24"/>
        </w:rPr>
        <w:t xml:space="preserve">1. Внутриведомственная презентация об актуальности темы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Цель:</w:t>
      </w:r>
      <w:r>
        <w:rPr>
          <w:rFonts w:eastAsia="georgia" w:cs="georgia" w:ascii="georgia" w:hAnsi="georgia"/>
          <w:color w:val="000000"/>
        </w:rPr>
        <w:t xml:space="preserve"> убедить руководителей и коллег, что связка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«климатическая аномалия → деградация ММГ → ЧС → нужна реакция МЧС»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требует отдельного инструмента мониторинга и планирования.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Структура презентации (10–15 слайдов):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Контекст и сверхцель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65% территории России — зона ММГ; к середине века площадь криолитозоны может сократиться на 25–50%, что повышает риски разрушения зданий и инфраструктуры.</w:t>
      </w:r>
      <w:bookmarkStart w:id="5" w:name="fnref5"/>
      <w:bookmarkEnd w:id="5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6" w:name="fnref6"/>
      <w:bookmarkEnd w:id="6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Оценки ущерба: десятки–сотни миллиардов рублей на инфраструктуру, включая объекты здравоохранения и ТЭК.</w:t>
      </w:r>
      <w:bookmarkStart w:id="7" w:name="fnref2_1"/>
      <w:bookmarkEnd w:id="7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8" w:name="fnref4_1"/>
      <w:bookmarkEnd w:id="8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9" w:name="fnref1_1"/>
      <w:bookmarkEnd w:id="9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Ключевые риски для МЧС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Деформации и разрушения зданий, дорог, трубопроводов, резервуаров из‑за просадки грунта.</w:t>
      </w:r>
      <w:bookmarkStart w:id="10" w:name="fnref7"/>
      <w:bookmarkEnd w:id="10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11" w:name="fnref8"/>
      <w:bookmarkEnd w:id="11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Накопленные загрязнения (от 13 до 20 тыс. потенциально загрязнённых промышленных площадок в зоне ММГ) и риск их «разгерметизации» при оттаивании.</w:t>
      </w:r>
      <w:bookmarkStart w:id="12" w:name="fnref9"/>
      <w:bookmarkEnd w:id="12"/>
      <w:hyperlink w:anchor="fn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Яркие кейсы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Авария на ТЭЦ‑3 в Норильске (2020): разрушение резервуара, разлив ~20–21 тыс. тонн дизельного топлива, объявление ЧС федерального уровня, многомиллиардные затраты на ликвидацию.</w:t>
      </w:r>
      <w:bookmarkStart w:id="13" w:name="fnref10"/>
      <w:bookmarkEnd w:id="13"/>
      <w:hyperlink w:anchor="fn1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[10]</w:t>
        </w:r>
      </w:hyperlink>
      <w:bookmarkStart w:id="14" w:name="fnref11"/>
      <w:bookmarkEnd w:id="14"/>
      <w:hyperlink w:anchor="fn1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[11]</w:t>
        </w:r>
      </w:hyperlink>
      <w:bookmarkStart w:id="15" w:name="fnref12"/>
      <w:bookmarkEnd w:id="15"/>
      <w:hyperlink w:anchor="fn1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[12]</w:t>
        </w:r>
      </w:hyperlink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Прогнозы МЧС и Минприроды РФ о росте числа ЧС по мере деградации ММГ и износа инфраструктуры.</w:t>
      </w:r>
      <w:bookmarkStart w:id="16" w:name="fnref4_2"/>
      <w:bookmarkEnd w:id="16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17" w:name="fnref5_1"/>
      <w:bookmarkEnd w:id="17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Концептуальная цепочка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Схема: климат (аномалии температуры/осадков) → ММГ (прогрев, термокарст, просадка) → инфраструктура (деформации, аварии) → ЧС (паводки, разливы, разрушения) → нагрузки на МЧС.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Показать, что сейчас у МЧС есть разрозненные элементы (мониторинг ЧС, климатические прогнозы), но нет «швата» между ними.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Идея решения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Информационно‑аналитическое приложение, которое:</w:t>
      </w:r>
    </w:p>
    <w:p>
      <w:pPr>
        <w:numPr>
          <w:ilvl w:val="2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 входе — климат, ММГ, гидрология, ЧС;</w:t>
      </w:r>
    </w:p>
    <w:p>
      <w:pPr>
        <w:numPr>
          <w:ilvl w:val="2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 выходе — сценарии «аномальных лет» и матрица мер по стадиям и уровням ЧС.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Эффект для МЧС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Более ранний и пространственно конкретный переход в режимы повышенной готовности, лучшее целеполагание обследований и ремонта, экономия ресурсов и снижение доли ЧС, переходящих в крупный масштаб.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Эта презентация может быть сделана как отдельный файл (PPTX/HTML‑slides), но логически предшествует обзору источников и ТЗ.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8" w:name="bm_2_обзор_источников_литературны_88f15e"/>
      <w:r>
        <w:rPr>
          <w:rFonts w:eastAsia="georgia" w:cs="georgia" w:ascii="georgia" w:hAnsi="georgia"/>
          <w:b/>
          <w:color w:val="000000"/>
          <w:sz w:val="24"/>
        </w:rPr>
        <w:t xml:space="preserve">2. Обзор источников (литературный обзор) по ссылочному пространству</w:t>
      </w:r>
      <w:bookmarkEnd w:id="18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Цель:</w:t>
      </w:r>
      <w:r>
        <w:rPr>
          <w:rFonts w:eastAsia="georgia" w:cs="georgia" w:ascii="georgia" w:hAnsi="georgia"/>
          <w:color w:val="000000"/>
        </w:rPr>
        <w:t xml:space="preserve"> собрать и структурировать доказательную базу под ключевые элементы цепочки, в том числе с использованием материалов из вашего Space по permafrost.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Содержание обзора (отдельный документ):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Масштаб и темпы деградации ММГ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Оценки доли территории, покрытой мерзлотой, и прогнозы её сокращения.</w:t>
      </w:r>
      <w:bookmarkStart w:id="19" w:name="fnref3_1"/>
      <w:bookmarkEnd w:id="19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20" w:name="fnref6_1"/>
      <w:bookmarkEnd w:id="20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21" w:name="fnref5_2"/>
      <w:bookmarkEnd w:id="21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Изменения глубины сезонного протаивания, температуры грунта и их влияние на несущую способность.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Влияние ММГ на инфраструктуру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Работы по оценке повреждений зданий, дорог, аэродромов, трубопроводов из‑за ММГ.</w:t>
      </w:r>
      <w:bookmarkStart w:id="22" w:name="fnref13"/>
      <w:bookmarkEnd w:id="22"/>
      <w:hyperlink w:anchor="fn1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[13]</w:t>
        </w:r>
      </w:hyperlink>
      <w:bookmarkStart w:id="23" w:name="fnref8_1"/>
      <w:bookmarkEnd w:id="23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  <w:bookmarkStart w:id="24" w:name="fnref7_1"/>
      <w:bookmarkEnd w:id="24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Оценки экономического ущерба для отраслей и социальных объектов (здравоохранение и др.).</w:t>
      </w:r>
      <w:bookmarkStart w:id="25" w:name="fnref1_2"/>
      <w:bookmarkEnd w:id="25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26" w:name="fnref4_3"/>
      <w:bookmarkEnd w:id="26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Кейсы крупных ЧС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Норильск‑2020 и другие аварии, где ММГ названа фактором риска, и последующие решения о мониторинге и инспекциях опасных объектов.</w:t>
      </w:r>
      <w:bookmarkStart w:id="27" w:name="fnref12_1"/>
      <w:bookmarkEnd w:id="27"/>
      <w:hyperlink w:anchor="fn1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[12]</w:t>
        </w:r>
      </w:hyperlink>
      <w:bookmarkStart w:id="28" w:name="fnref14"/>
      <w:bookmarkEnd w:id="28"/>
      <w:hyperlink w:anchor="fn1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[14]</w:t>
        </w:r>
      </w:hyperlink>
      <w:bookmarkStart w:id="29" w:name="fnref10_1"/>
      <w:bookmarkEnd w:id="29"/>
      <w:hyperlink w:anchor="fn1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[10]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Официальные позиции и прогнозы МЧС / Минприроды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Прогноз МЧС по рискам разрушения зданий и инфраструктуры к 2050–2100 гг.</w:t>
      </w:r>
      <w:bookmarkStart w:id="30" w:name="fnref5_3"/>
      <w:bookmarkEnd w:id="30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Оценки Минприроды и ведомственных центров мониторинга по возможным экономическим потерям.</w:t>
      </w:r>
      <w:bookmarkStart w:id="31" w:name="fnref4_4"/>
      <w:bookmarkEnd w:id="31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Методики мониторинга и прогнозирования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Научные статьи и отчёты по интеграции климатических и криогенных данных, спутникового мониторинга и наземных наблюдений для оценки рисков.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Этот обзор вы затем можете использовать как обоснование для ТЗ и как «методичку» для коллег.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2" w:name="bm_3_проект_технического_задания_af440f"/>
      <w:r>
        <w:rPr>
          <w:rFonts w:eastAsia="georgia" w:cs="georgia" w:ascii="georgia" w:hAnsi="georgia"/>
          <w:b/>
          <w:color w:val="000000"/>
          <w:sz w:val="24"/>
        </w:rPr>
        <w:t xml:space="preserve">3. Проект технического задания (черновой вариант ТЗ)</w:t>
      </w:r>
      <w:bookmarkEnd w:id="3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Здесь мы берём уже подготовленную структуру ТЗ и «подвинчиваем» её, опираясь на обзор источников: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 раздел «Назначение и цели» добавляется прямая ссылка на актуальные оценки риска деградации ММГ и ущерба (в духе «согласно исследованиям и оценкам МЧС/Минприроды, к 2050 г. под угрозой…»).</w:t>
      </w:r>
      <w:bookmarkStart w:id="33" w:name="fnref1_3"/>
      <w:bookmarkEnd w:id="33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34" w:name="fnref5_4"/>
      <w:bookmarkEnd w:id="34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35" w:name="fnref4_5"/>
      <w:bookmarkEnd w:id="35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 функциональные требования — явная привязка к сценариям, которые подтверждаются в литературе (например, сценарии «аномально тёплых лет» и «серий тёплых и влажных лет» как драйверов оттаивания).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 требования к отчётности — ссылка на то, что отчёты должны быть пригодны для включения в регламентированный комплект документов по ГО и ЧС (планы действий по предупреждению и ликвидации ЧС на муниципальном и региональном уровнях).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Фактически это версия ТЗ уровня «проект», которая уже обоснована внутриотраслевым и научным контекстом, но ещё не оформлена по всем формальным ГОСТ/приказам.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6" w:name="bm_4_финальное_тз_по_стандартам_г_49c38c"/>
      <w:r>
        <w:rPr>
          <w:rFonts w:eastAsia="georgia" w:cs="georgia" w:ascii="georgia" w:hAnsi="georgia"/>
          <w:b/>
          <w:color w:val="000000"/>
          <w:sz w:val="24"/>
        </w:rPr>
        <w:t xml:space="preserve">4. Финальное ТЗ по стандартам ГО/ЧС МЧС</w:t>
      </w:r>
      <w:bookmarkEnd w:id="3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Задача:</w:t>
      </w:r>
      <w:r>
        <w:rPr>
          <w:rFonts w:eastAsia="georgia" w:cs="georgia" w:ascii="georgia" w:hAnsi="georgia"/>
          <w:color w:val="000000"/>
        </w:rPr>
        <w:t xml:space="preserve"> привести проект ТЗ к форме, требуемой вашим внутренним стандартом (ГО, приказы МЧС и др.).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Типовая доработка:</w:t>
      </w:r>
    </w:p>
    <w:p>
      <w:pPr>
        <w:numPr>
          <w:ilvl w:val="0"/>
          <w:numId w:val="4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Добавление титульного листа, реквизитов, грифов согласования.</w:t>
      </w:r>
    </w:p>
    <w:p>
      <w:pPr>
        <w:numPr>
          <w:ilvl w:val="0"/>
          <w:numId w:val="4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Формализация разделов: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«Основание для разработки» — ссылка на внутренние решения, инициативы, а также на нормативные документы и концепции развития РСЧС.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«Назначение и область применения» — с описанием, что система используется для планирования сил и средств при ЧС, связанных с деградацией ММГ.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«Требования к функциональным характеристикам» — развёрнуто на базе уже написанного «Функциональные требования».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«Требования к надёжности, безопасности, защите информации» — по ведомственным нормам.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«Требования к составу и содержанию работ» — с указанием этапов (НИР, ОКР, пилот, внедрение).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«Порядок контроля и приёмки» — критерии готовности (включая сверхцель), процедуры испытаний и оценки эффективности.</w:t>
      </w:r>
    </w:p>
    <w:p>
      <w:pPr>
        <w:numPr>
          <w:ilvl w:val="0"/>
          <w:numId w:val="4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Приложения: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Матрица сценариев «аномальный год → сценарий → меры по стадиям» в табличном виде.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Перечень ключевых источников (по необходимости).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7" w:name="как_можем_двигаться_дальше"/>
      <w:r>
        <w:rPr>
          <w:rFonts w:eastAsia="georgia" w:cs="georgia" w:ascii="georgia" w:hAnsi="georgia"/>
          <w:b/>
          <w:color w:val="000000"/>
          <w:sz w:val="24"/>
        </w:rPr>
        <w:t xml:space="preserve">Как можем двигаться дальше</w:t>
      </w:r>
      <w:bookmarkEnd w:id="3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 учётом вашего предложения предлагаю такой рабочий порядок: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Я помогаю вам </w:t>
      </w:r>
      <w:r>
        <w:rPr>
          <w:rFonts w:eastAsia="georgia" w:cs="georgia" w:ascii="georgia" w:hAnsi="georgia"/>
          <w:b/>
          <w:color w:val="000000"/>
          <w:sz w:val="21"/>
        </w:rPr>
        <w:t xml:space="preserve">сначала набросать структуру презентации</w:t>
      </w:r>
      <w:r>
        <w:rPr>
          <w:rFonts w:eastAsia="georgia" w:cs="georgia" w:ascii="georgia" w:hAnsi="georgia"/>
          <w:color w:val="000000"/>
          <w:sz w:val="21"/>
        </w:rPr>
        <w:t xml:space="preserve"> (с тезисами по каждому слайду).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Затем — </w:t>
      </w:r>
      <w:r>
        <w:rPr>
          <w:rFonts w:eastAsia="georgia" w:cs="georgia" w:ascii="georgia" w:hAnsi="georgia"/>
          <w:b/>
          <w:color w:val="000000"/>
          <w:sz w:val="21"/>
        </w:rPr>
        <w:t xml:space="preserve">outline литературного обзора</w:t>
      </w:r>
      <w:r>
        <w:rPr>
          <w:rFonts w:eastAsia="georgia" w:cs="georgia" w:ascii="georgia" w:hAnsi="georgia"/>
          <w:color w:val="000000"/>
          <w:sz w:val="21"/>
        </w:rPr>
        <w:t xml:space="preserve"> с учётом материалов Space и найденных статей (вы сможете добрать детали и оформить ссылки).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После этого мы </w:t>
      </w:r>
      <w:r>
        <w:rPr>
          <w:rFonts w:eastAsia="georgia" w:cs="georgia" w:ascii="georgia" w:hAnsi="georgia"/>
          <w:b/>
          <w:color w:val="000000"/>
          <w:sz w:val="21"/>
        </w:rPr>
        <w:t xml:space="preserve">укрепляем уже написанный проект ТЗ</w:t>
      </w:r>
      <w:r>
        <w:rPr>
          <w:rFonts w:eastAsia="georgia" w:cs="georgia" w:ascii="georgia" w:hAnsi="georgia"/>
          <w:color w:val="000000"/>
          <w:sz w:val="21"/>
        </w:rPr>
        <w:t xml:space="preserve"> ссылками на этот обзор.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 конце — выносим всё в </w:t>
      </w:r>
      <w:r>
        <w:rPr>
          <w:rFonts w:eastAsia="georgia" w:cs="georgia" w:ascii="georgia" w:hAnsi="georgia"/>
          <w:b/>
          <w:color w:val="000000"/>
          <w:sz w:val="21"/>
        </w:rPr>
        <w:t xml:space="preserve">формальный текст ТЗ</w:t>
      </w:r>
      <w:r>
        <w:rPr>
          <w:rFonts w:eastAsia="georgia" w:cs="georgia" w:ascii="georgia" w:hAnsi="georgia"/>
          <w:color w:val="000000"/>
          <w:sz w:val="21"/>
        </w:rPr>
        <w:t xml:space="preserve"> под ваш стандарт (с нумерацией разделов, формулировками «система должна…» и т. п.).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Если согласны, давайте начнём с презентации: напишу вам линейку слайдов с краткими подписями и ключевыми цифрами, чтобы её можно было сразу отдавать в PowerPoint.</w:t>
      </w:r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38" w:name="fn1"/>
    <w:bookmarkEnd w:id="38"/>
    <w:p>
      <w:pPr>
        <w:numPr>
          <w:ilvl w:val="0"/>
          <w:numId w:val="7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https://pmc.ncbi.nlm.nih.gov/articles/PMC8807372/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9" w:name="fn2"/>
    <w:bookmarkEnd w:id="39"/>
    <w:p>
      <w:pPr>
        <w:numPr>
          <w:ilvl w:val="0"/>
          <w:numId w:val="7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https://www.planetarysecurityinitiative.org/news/permafrost-thaw-puts-russias-arctic-ambitions-risk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0" w:name="fn3"/>
    <w:bookmarkEnd w:id="40"/>
    <w:p>
      <w:pPr>
        <w:numPr>
          <w:ilvl w:val="0"/>
          <w:numId w:val="7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https://www.thebarentsobserver.com/climate-crisis/more-than-60-of-russian-territory-is-permafrost-now-it-is-melting/125562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1" w:name="fn4"/>
    <w:bookmarkEnd w:id="41"/>
    <w:p>
      <w:pPr>
        <w:numPr>
          <w:ilvl w:val="0"/>
          <w:numId w:val="7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https://bellona.org/news/arctic/2021-06-permafrost-melt-caused-by-climate-change-could-cost-russia-billions-environmental-minister-says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2" w:name="fn5"/>
    <w:bookmarkEnd w:id="42"/>
    <w:p>
      <w:pPr>
        <w:numPr>
          <w:ilvl w:val="0"/>
          <w:numId w:val="7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https://www.thebarentsobserver.com/climate-crisis/permafrost-might-be-reduced-to-half-by-centurys-end/115249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3" w:name="fn6"/>
    <w:bookmarkEnd w:id="43"/>
    <w:p>
      <w:pPr>
        <w:numPr>
          <w:ilvl w:val="0"/>
          <w:numId w:val="7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https://bioone.org/journals/ambio-a-journal-of-the-human-environment/volume-35/issue-4/0044-7447(2006)35[169:PACCTR]2.0.CO;2/Permafrost-and-Changing-Climate-The-Russian-Perspective/10.1579/0044-7447(2006)35[169:PACCTR]2.0.CO;2.short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4" w:name="fn7"/>
    <w:bookmarkEnd w:id="44"/>
    <w:p>
      <w:pPr>
        <w:numPr>
          <w:ilvl w:val="0"/>
          <w:numId w:val="7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https://www.climatechangepost.com/news/strong-impact-of-warming-permafrost-on-russias-buildings-and-infrastructure/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5" w:name="fn8"/>
    <w:bookmarkEnd w:id="45"/>
    <w:p>
      <w:pPr>
        <w:numPr>
          <w:ilvl w:val="0"/>
          <w:numId w:val="7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https://www.arcus.org/search-program/arctic-answers/permafrost-and-infrastructure/briefs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6" w:name="fn9"/>
    <w:bookmarkEnd w:id="46"/>
    <w:p>
      <w:pPr>
        <w:numPr>
          <w:ilvl w:val="0"/>
          <w:numId w:val="7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https://pmc.ncbi.nlm.nih.gov/articles/PMC10050325/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7" w:name="fn10"/>
    <w:bookmarkEnd w:id="47"/>
    <w:p>
      <w:pPr>
        <w:numPr>
          <w:ilvl w:val="0"/>
          <w:numId w:val="7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https://pmc.ncbi.nlm.nih.gov/articles/PMC7884439/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8" w:name="fn11"/>
    <w:bookmarkEnd w:id="48"/>
    <w:p>
      <w:pPr>
        <w:numPr>
          <w:ilvl w:val="0"/>
          <w:numId w:val="7"/>
        </w:numPr>
        <w:spacing w:line="360" w:after="210" w:lineRule="auto"/>
      </w:pPr>
      <w:hyperlink r:id="rId1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https://earth.org/oil-spill-prompts-russia-to-declare-state-of-emergency/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9" w:name="fn12"/>
    <w:bookmarkEnd w:id="49"/>
    <w:p>
      <w:pPr>
        <w:numPr>
          <w:ilvl w:val="0"/>
          <w:numId w:val="7"/>
        </w:numPr>
        <w:spacing w:line="360" w:after="210" w:lineRule="auto"/>
      </w:pPr>
      <w:hyperlink r:id="rId1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https://www.thearcticinstitute.org/oil-spill-siberia-prepared-permafrost-thaw/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0" w:name="fn13"/>
    <w:bookmarkEnd w:id="50"/>
    <w:p>
      <w:pPr>
        <w:numPr>
          <w:ilvl w:val="0"/>
          <w:numId w:val="7"/>
        </w:numPr>
        <w:spacing w:line="360" w:after="210" w:lineRule="auto"/>
      </w:pPr>
      <w:hyperlink r:id="rId1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https://www.rgs.org/media/yo5dj1e2/poster2thawingpermafrostandrussianarcticinfrastructure.pdf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1" w:name="fn14"/>
    <w:bookmarkEnd w:id="51"/>
    <w:p>
      <w:pPr>
        <w:numPr>
          <w:ilvl w:val="0"/>
          <w:numId w:val="7"/>
        </w:numPr>
        <w:spacing w:line="360" w:after="210" w:lineRule="auto"/>
      </w:pPr>
      <w:hyperlink r:id="rId1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https://www.arctictoday.com/the-massive-norilsk-fuel-spill-could-be-linked-to-permafrost-thaw-a-growing-threat-to-arctic-infrastructure/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2" w:name="fn15"/>
    <w:bookmarkEnd w:id="52"/>
    <w:p>
      <w:pPr>
        <w:numPr>
          <w:ilvl w:val="0"/>
          <w:numId w:val="7"/>
        </w:numPr>
        <w:spacing w:line="360" w:after="210" w:lineRule="auto"/>
      </w:pPr>
      <w:hyperlink r:id="rId2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https://onlinelibrary.wiley.com/doi/10.1111/anti.70074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3" w:name="fn16"/>
    <w:bookmarkEnd w:id="53"/>
    <w:p>
      <w:pPr>
        <w:numPr>
          <w:ilvl w:val="0"/>
          <w:numId w:val="7"/>
        </w:numPr>
        <w:spacing w:line="360" w:after="210" w:lineRule="auto"/>
      </w:pPr>
      <w:hyperlink r:id="rId2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https://www.mdpi.com/2072-4292/15/3/654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4" w:name="fn17"/>
    <w:bookmarkEnd w:id="54"/>
    <w:p>
      <w:pPr>
        <w:numPr>
          <w:ilvl w:val="0"/>
          <w:numId w:val="7"/>
        </w:numPr>
        <w:spacing w:line="360" w:after="210" w:lineRule="auto"/>
      </w:pPr>
      <w:hyperlink r:id="rId2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https://nbpublish.com/library_read_article.php?id=75042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5" w:name="fn18"/>
    <w:bookmarkEnd w:id="55"/>
    <w:p>
      <w:pPr>
        <w:numPr>
          <w:ilvl w:val="0"/>
          <w:numId w:val="7"/>
        </w:numPr>
        <w:spacing w:line="360" w:after="210" w:lineRule="auto"/>
      </w:pPr>
      <w:hyperlink r:id="rId2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https://www.e3s-conferences.org/articles/e3sconf/pdf/2024/28/e3sconf_icape2024_02001.pdf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6" w:name="fn19"/>
    <w:bookmarkEnd w:id="56"/>
    <w:p>
      <w:pPr>
        <w:numPr>
          <w:ilvl w:val="0"/>
          <w:numId w:val="7"/>
        </w:numPr>
        <w:spacing w:line="360" w:after="210" w:lineRule="auto"/>
      </w:pPr>
      <w:hyperlink r:id="rId2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https://keninstitute.com/norilsk-diesel-oil-spill-russia-worlds-largst-arctic-oil-spill/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7" w:name="fn20"/>
    <w:bookmarkEnd w:id="57"/>
    <w:p>
      <w:pPr>
        <w:numPr>
          <w:ilvl w:val="0"/>
          <w:numId w:val="7"/>
        </w:numPr>
        <w:spacing w:line="360" w:after="210" w:lineRule="auto"/>
      </w:pPr>
      <w:hyperlink r:id="rId2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https://theglobalobservatory.org/2021/11/how-permafrost-thaw-puts-the-russian-arctic-at-risk/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8" w:name="fn21"/>
    <w:bookmarkEnd w:id="58"/>
    <w:p>
      <w:pPr>
        <w:numPr>
          <w:ilvl w:val="0"/>
          <w:numId w:val="7"/>
        </w:numPr>
        <w:spacing w:line="360" w:after="210" w:lineRule="auto"/>
      </w:pPr>
      <w:hyperlink r:id="rId2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https://globalclimaterisks.org/insights/blog/arctic-permafrost-thaw-impending-infrastructure-crisis/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menlo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64ff5bd895854da89753759a82a40882a1ec6a68.png" TargetMode="Internal"/><Relationship Id="rId6" Type="http://schemas.openxmlformats.org/officeDocument/2006/relationships/hyperlink" Target="https://pmc.ncbi.nlm.nih.gov/articles/PMC8807372/" TargetMode="External"/><Relationship Id="rId7" Type="http://schemas.openxmlformats.org/officeDocument/2006/relationships/hyperlink" Target="https://www.planetarysecurityinitiative.org/news/permafrost-thaw-puts-russias-arctic-ambitions-risk" TargetMode="External"/><Relationship Id="rId8" Type="http://schemas.openxmlformats.org/officeDocument/2006/relationships/hyperlink" Target="https://www.thebarentsobserver.com/climate-crisis/more-than-60-of-russian-territory-is-permafrost-now-it-is-melting/125562" TargetMode="External"/><Relationship Id="rId9" Type="http://schemas.openxmlformats.org/officeDocument/2006/relationships/hyperlink" Target="https://bellona.org/news/arctic/2021-06-permafrost-melt-caused-by-climate-change-could-cost-russia-billions-environmental-minister-says" TargetMode="External"/><Relationship Id="rId10" Type="http://schemas.openxmlformats.org/officeDocument/2006/relationships/hyperlink" Target="https://www.thebarentsobserver.com/climate-crisis/permafrost-might-be-reduced-to-half-by-centurys-end/115249" TargetMode="External"/><Relationship Id="rId11" Type="http://schemas.openxmlformats.org/officeDocument/2006/relationships/hyperlink" Target="https://bioone.org/journals/ambio-a-journal-of-the-human-environment/volume-35/issue-4/0044-7447(2006)35%5B169:PACCTR%5D2.0.CO;2/Permafrost-and-Changing-Climate-The-Russian-Perspective/10.1579/0044-7447(2006)35%5B169:PACCTR%5D2.0.CO;2.short" TargetMode="External"/><Relationship Id="rId12" Type="http://schemas.openxmlformats.org/officeDocument/2006/relationships/hyperlink" Target="https://www.climatechangepost.com/news/strong-impact-of-warming-permafrost-on-russias-buildings-and-infrastructure/" TargetMode="External"/><Relationship Id="rId13" Type="http://schemas.openxmlformats.org/officeDocument/2006/relationships/hyperlink" Target="https://www.arcus.org/search-program/arctic-answers/permafrost-and-infrastructure/briefs" TargetMode="External"/><Relationship Id="rId14" Type="http://schemas.openxmlformats.org/officeDocument/2006/relationships/hyperlink" Target="https://pmc.ncbi.nlm.nih.gov/articles/PMC10050325/" TargetMode="External"/><Relationship Id="rId15" Type="http://schemas.openxmlformats.org/officeDocument/2006/relationships/hyperlink" Target="https://pmc.ncbi.nlm.nih.gov/articles/PMC7884439/" TargetMode="External"/><Relationship Id="rId16" Type="http://schemas.openxmlformats.org/officeDocument/2006/relationships/hyperlink" Target="https://earth.org/oil-spill-prompts-russia-to-declare-state-of-emergency/" TargetMode="External"/><Relationship Id="rId17" Type="http://schemas.openxmlformats.org/officeDocument/2006/relationships/hyperlink" Target="https://www.thearcticinstitute.org/oil-spill-siberia-prepared-permafrost-thaw/" TargetMode="External"/><Relationship Id="rId18" Type="http://schemas.openxmlformats.org/officeDocument/2006/relationships/hyperlink" Target="https://www.rgs.org/media/yo5dj1e2/poster2thawingpermafrostandrussianarcticinfrastructure.pdf" TargetMode="External"/><Relationship Id="rId19" Type="http://schemas.openxmlformats.org/officeDocument/2006/relationships/hyperlink" Target="https://www.arctictoday.com/the-massive-norilsk-fuel-spill-could-be-linked-to-permafrost-thaw-a-growing-threat-to-arctic-infrastructure/" TargetMode="External"/><Relationship Id="rId20" Type="http://schemas.openxmlformats.org/officeDocument/2006/relationships/hyperlink" Target="https://onlinelibrary.wiley.com/doi/10.1111/anti.70074" TargetMode="External"/><Relationship Id="rId21" Type="http://schemas.openxmlformats.org/officeDocument/2006/relationships/hyperlink" Target="https://www.mdpi.com/2072-4292/15/3/654" TargetMode="External"/><Relationship Id="rId22" Type="http://schemas.openxmlformats.org/officeDocument/2006/relationships/hyperlink" Target="https://nbpublish.com/library_read_article.php?id=75042" TargetMode="External"/><Relationship Id="rId23" Type="http://schemas.openxmlformats.org/officeDocument/2006/relationships/hyperlink" Target="https://www.e3s-conferences.org/articles/e3sconf/pdf/2024/28/e3sconf_icape2024_02001.pdf" TargetMode="External"/><Relationship Id="rId24" Type="http://schemas.openxmlformats.org/officeDocument/2006/relationships/hyperlink" Target="https://keninstitute.com/norilsk-diesel-oil-spill-russia-worlds-largst-arctic-oil-spill/" TargetMode="External"/><Relationship Id="rId25" Type="http://schemas.openxmlformats.org/officeDocument/2006/relationships/hyperlink" Target="https://theglobalobservatory.org/2021/11/how-permafrost-thaw-puts-the-russian-arctic-at-risk/" TargetMode="External"/><Relationship Id="rId26" Type="http://schemas.openxmlformats.org/officeDocument/2006/relationships/hyperlink" Target="https://globalclimaterisks.org/insights/blog/arctic-permafrost-thaw-impending-infrastructure-crisis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2026-05-19T12:43:57.644Z</dcterms:created>
  <dcterms:modified xsi:type="dcterms:W3CDTF">2026-05-19T12:43:57.644Z</dcterms:modified>
</cp:coreProperties>
</file>