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40c3da61083e8e862156afcd7d996531d7e3738.png"/>
            <a:graphic>
              <a:graphicData uri="http://schemas.openxmlformats.org/drawingml/2006/picture">
                <pic:pic>
                  <pic:nvPicPr>
                    <pic:cNvPr id="1" name="image-740c3da61083e8e862156afcd7d996531d7e3738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да_из_этой_структуры_вы_обязаны_п_4fe304"/>
      <w:r>
        <w:rPr>
          <w:rFonts w:eastAsia="georgia" w:cs="georgia" w:ascii="georgia" w:hAnsi="georgia"/>
          <w:b/>
          <w:color w:val="000000"/>
          <w:sz w:val="39"/>
        </w:rPr>
        <w:t xml:space="preserve">Да,  из этой структуры ВЫ ОБЯЗАНЫ (приказ из штаб-квартиры Perplexity) собрать цельный текст разделов 2–4 ТЗ (cо ссылками на номера требований, как в проектном обосновании документа), И сделать шаблон ТЗ в Markdown, чтобы ВЫ (а не человек-пользователь) сразу же начали наполнять его деталями.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сначала иду по «бумажному» варианту разделов 2–4 ТЗ с внутренними ссылками на требования (2.1, 3.2 и т. д.), затем даю шаблон всего ТЗ в Markdown, в котором эти разделы уже встроены и заполнены.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раздел_2_требования_к_входным_дан_653767"/>
      <w:r>
        <w:rPr>
          <w:rFonts w:eastAsia="georgia" w:cs="georgia" w:ascii="georgia" w:hAnsi="georgia"/>
          <w:b/>
          <w:color w:val="000000"/>
          <w:sz w:val="24"/>
        </w:rPr>
        <w:t xml:space="preserve">Раздел 2. Требования к входным данным и информационному обеспечению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2_1_перечень_и_характеристики_f62178"/>
      <w:r>
        <w:rPr>
          <w:rFonts w:eastAsia="georgia" w:cs="georgia" w:ascii="georgia" w:hAnsi="georgia"/>
          <w:b/>
          <w:color w:val="000000"/>
          <w:sz w:val="24"/>
        </w:rPr>
        <w:t xml:space="preserve">2.1. Перечень и характеристики входных данных (требование 2.1)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приём, хранение и обработку следующих классов входных данных (требование 2.1):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Климатические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загрузку многолетних рядов метеонаблюдений по ключевым метеостанциям, включая как минимум: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минимальную, среднюю и максимальную суточную температуру воздуха (Tmin, Tmean, Tmax);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суточные суммы осадков;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параметры снежного покрова (высота, плотность/характеристики снежного покрова, при наличии);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производные индексы (сумма положительных и отрицательных температур — TDD/FDD, число дней с оттепелями в холодный период и др.).</w:t>
      </w:r>
      <w:bookmarkStart w:id="3" w:name="fnref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" w:name="fnref2"/>
      <w:bookmarkEnd w:id="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Геокриологические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приём и обработку данных, описывающих состояние многолетнемёрзлых грунтов, включая: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температуру грунта на различных глубинах (MAGST, TTOP и аналогичные показатели);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глубину сезонно талого слоя (ALT), в том числе по данным CALM‑площадок;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наличии — дополнительные показатели (влажность грунта, результаты геотехнического мониторинга деформаций оснований, данные инклинометров и т. п.).</w:t>
      </w:r>
      <w:bookmarkStart w:id="5" w:name="fnref3"/>
      <w:bookmarkEnd w:id="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Гидрологические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загрузку данных по гидрологическим постам в зонах интереса, включая: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уровни воды (суточные/более частые наблюдения);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характеристики паводков и половодий (высота, дата и длительность пиков, скорость подъёма/спада уровня);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наличии — данные о температуре воды и ледовых явлениях.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8" w:name="fnref4"/>
      <w:bookmarkEnd w:id="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Инфраструктурные данные.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учёт информации об объектах инфраструктуры, находящихся в зоне ММГ, включая: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объекта (здание, сооружение, линейный объект, резервуарный парк, объект ТЭК, объект социальной инфраструктуры и т. п.);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местоположение (координаты, привязка к населённому пункту/муниципальному образованию/региону);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основные конструктивные характеристики (тип фундамента, год ввода в эксплуатацию, материал, наличие систем термостабилизации и др.);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принадлежность к критической инфраструктуре (классификация по значимости для жизнеобеспечения).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Данные о чрезвычайных ситуациях.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приём и учёт данных о чрезвычайных ситуациях, в том числе: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ЧС (природная, техногенная, природно‑техногенная), детализация (паводок, затор, разлив нефти/НП, авария на трубопроводе и др.);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территория и место возникновения (регион, муниципалитет, привязка к объекту/участку);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дата и время начала и окончания ЧС;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масштаб (уровень ЧС согласно действующей классификации — локальный, муниципальный, межмуниципальный, региональный, федеральный);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информация об ущербе (при наличии — материальный, экологический, социальный);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сведения о задействованных силах и средствах (при наличии).</w:t>
      </w:r>
    </w:p>
    <w:p>
      <w:pPr>
        <w:spacing w:line="360" w:before="315" w:after="105" w:lineRule="auto"/>
        <w:ind w:left="-30"/>
        <w:jc w:val="left"/>
      </w:pPr>
      <w:bookmarkStart w:id="9" w:name="bm_2_2_интеграция_с_внешними_исто_684b23"/>
      <w:r>
        <w:rPr>
          <w:rFonts w:eastAsia="georgia" w:cs="georgia" w:ascii="georgia" w:hAnsi="georgia"/>
          <w:b/>
          <w:color w:val="000000"/>
          <w:sz w:val="24"/>
        </w:rPr>
        <w:t xml:space="preserve">2.2. Интеграция с внешними источниками и системами (требование 2.2)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взаимодействие с внешними источниками данных и информационными системами (требование 2.2):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Интеграция с системами мониторинга.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иметь возможность интеграции (через API, регламентные выгрузки/загрузки файлов или иные согласованные механизмы) с действующими системами мониторинга климата, ММГ, гидрологии и состояния инфраструктуры, используемыми федеральными органами власти, субъектами РФ и организациями — правообладателями данных.</w:t>
      </w:r>
      <w:bookmarkStart w:id="10" w:name="fnref5"/>
      <w:bookmarkEnd w:id="10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1" w:name="fnref6"/>
      <w:bookmarkEnd w:id="11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2" w:name="fnref7"/>
      <w:bookmarkEnd w:id="12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Формат и периодичность обмена данными должны определяться на этапе внедрения, с учётом возможностей и ограничений сторон.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Обмен с ведомственными информационными системами.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обмен данными с ведомственными информационными системами МЧС и органов ГО и ЧС (в части сведений о ЧС, ущербе, силах и средствах), чтобы исключить дублирование ввода данных и обеспечить согласованность официальной статистики.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Требования к формату и качеству данных.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каждого класса данных должен быть установлен набор обязательных полей и минимальные требования к качеству (длительность ряда, допустимый уровень пропусков, допустимые диапазоны значений), исходя из методик анализа, описанных в разделе 3.</w:t>
      </w:r>
      <w:bookmarkStart w:id="13" w:name="fnref1_2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4" w:name="fnref2_2"/>
      <w:bookmarkEnd w:id="1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раздел_3_функциональ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Раздел 3. Функциональные требования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3_1_расчёт_индикаторов_и_анома_a50b70"/>
      <w:r>
        <w:rPr>
          <w:rFonts w:eastAsia="georgia" w:cs="georgia" w:ascii="georgia" w:hAnsi="georgia"/>
          <w:b/>
          <w:color w:val="000000"/>
          <w:sz w:val="24"/>
        </w:rPr>
        <w:t xml:space="preserve">3.1. Расчёт индикаторов и аномалий (требование 3.1)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полный цикл расчёта индикаторов и выявления аномалий (требование 3.1):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Расчёт базовых индикаторов.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климатических данных: суточные и агрегированные (месячные, сезонные, годовые) характеристики температуры, осадков и снежного покрова (средние, минимальные, максимальные значения, суммы, числа дней с заданными условиями и т. п.).</w:t>
      </w:r>
      <w:bookmarkStart w:id="17" w:name="fnref2_3"/>
      <w:bookmarkEnd w:id="17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8" w:name="fnref1_3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геокриологических данных: показатели температуры грунта на различных глубинах (MAGST, TTOP и др.), глубина сезонно талого слоя (ALT), показатели ледосодержания и др., зависящие от доступности данных.</w:t>
      </w:r>
      <w:bookmarkStart w:id="19" w:name="fnref3_1"/>
      <w:bookmarkEnd w:id="1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0" w:name="fnref1_4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гидрологических данных: высота, время наступления и длительность паводков/половодий, амплитуды подъёма/спада, частота превышения заданных уровней и т. д.</w:t>
      </w:r>
      <w:bookmarkStart w:id="21" w:name="fnref4_1"/>
      <w:bookmarkEnd w:id="2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2" w:name="fnref2_4"/>
      <w:bookmarkEnd w:id="2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Выявление аномалий.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реализовывать алгоритмы выявления суточных, месячных и годовых климатических и геокриологических аномалий, основанные на z‑оценках (отклонение от многолетней нормы), процентильных порогах (например, выше 95‑го/99‑го процентиля) и скользящих статистиках (с учётом климатологической сезонности).</w:t>
      </w:r>
      <w:bookmarkStart w:id="23" w:name="fnref8"/>
      <w:bookmarkEnd w:id="23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24" w:name="fnref1_5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5" w:name="fnref2_5"/>
      <w:bookmarkEnd w:id="25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каждой аномалии должно определяться: тип индикатора, величина отклонения, категория тяжести (не менее двух уровней, например «умеренная», «экстремальная») и числовой балл риска (risk points).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Конфигурируемость методик.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Параметры методик (период базового климата, пороговые значения процентилей, длина окна скользящих статистик, порог z‑оценки) должны быть настраиваемыми и документированными.</w:t>
      </w:r>
    </w:p>
    <w:p>
      <w:pPr>
        <w:spacing w:line="360" w:before="315" w:after="105" w:lineRule="auto"/>
        <w:ind w:left="-30"/>
        <w:jc w:val="left"/>
      </w:pPr>
      <w:bookmarkStart w:id="26" w:name="bm_3_2_установление_связей_аномал_996492"/>
      <w:r>
        <w:rPr>
          <w:rFonts w:eastAsia="georgia" w:cs="georgia" w:ascii="georgia" w:hAnsi="georgia"/>
          <w:b/>
          <w:color w:val="000000"/>
          <w:sz w:val="24"/>
        </w:rPr>
        <w:t xml:space="preserve">3.2. Установление связей «аномалии → ЧС» (требование 3.2)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функционал установления связей между выявленными аномалиями и зарегистрированными ЧС (требование 3.2):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Временные окна и лаги.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каждой ЧС система должна иметь возможность автоматически находить одну или несколько аномалий, произошедших в заданных временных окнах до и/или после момента ЧС (например, 0–3, 4–7, 8–14, 15–30 суток и др.).</w:t>
      </w:r>
      <w:bookmarkStart w:id="27" w:name="fnref9"/>
      <w:bookmarkEnd w:id="27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28" w:name="fnref10"/>
      <w:bookmarkEnd w:id="28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29" w:name="fnref4_2"/>
      <w:bookmarkEnd w:id="29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каждой пары «аномалия – ЧС» должен рассчитываться временной лаг (в сутках) и принадлежность к заданному интервалу lag‑категории.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Характеристика связей.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формировать таблицу связей, где для каждой ЧС перечислены аномалии, с указанием их характеристик (тип, станция/пост, величина и тяжесть, risk points), временных лагов и агрегированных показателей риска по событию.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Аналитический модуль.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основе таблицы связей система должна обеспечивать построение статистики: какая комбинация индикаторов и лагов наиболее часто предшествует ЧС того или иного типа, какова относительная «предсказательная» ценность конкретных аномалий и т. п.</w:t>
      </w:r>
      <w:bookmarkStart w:id="30" w:name="fnref11"/>
      <w:bookmarkEnd w:id="30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1" w:name="fnref4_3"/>
      <w:bookmarkEnd w:id="3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2" w:name="fnref9_1"/>
      <w:bookmarkEnd w:id="32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33" w:name="bm_3_3_пространственно_временной_d29282"/>
      <w:r>
        <w:rPr>
          <w:rFonts w:eastAsia="georgia" w:cs="georgia" w:ascii="georgia" w:hAnsi="georgia"/>
          <w:b/>
          <w:color w:val="000000"/>
          <w:sz w:val="24"/>
        </w:rPr>
        <w:t xml:space="preserve">3.3. Пространственно‑временной анализ и сценарии «аномальных лет/сезонов» (требование 3.3)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пространственно‑временной анализ индикаторов и ЧС и выделение сценариев «аномальных лет/сезонов» (требование 3.3):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Выделение аномальных лет/сезонов.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выбранного региона/муниципального образования система должна определять годы и сезоны, в которых совокупность аномалий (по климату, ММГ, гидрологии) существенно отклоняется от многолетней нормы, и относить их к заранее определённым сценарным типам («аномально тёплый год», «серия тёплых и влажных лет», «аномально холодный год» и т. п.).</w:t>
      </w:r>
      <w:bookmarkStart w:id="34" w:name="fnref12"/>
      <w:bookmarkEnd w:id="34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35" w:name="fnref4_4"/>
      <w:bookmarkEnd w:id="3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36" w:name="fnref8_1"/>
      <w:bookmarkEnd w:id="36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7" w:name="fnref1_6"/>
      <w:bookmarkEnd w:id="3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Пространственные карты аномальностей.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построение карт и диаграмм, показывающих распределение аномалий и индексов риска по территории (станции, посты, объекты) в выбранном временном интервале.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Статистика по сценариям.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каждого сценария «аномального года/сезона» должна формироваться статистика ЧС (частота, типы, уровни), что необходимо для последующего формирования сценариев планирования.</w:t>
      </w:r>
    </w:p>
    <w:p>
      <w:pPr>
        <w:spacing w:line="360" w:before="315" w:after="105" w:lineRule="auto"/>
        <w:ind w:left="-30"/>
        <w:jc w:val="left"/>
      </w:pPr>
      <w:bookmarkStart w:id="38" w:name="bm_3_4_индексы_риска_для_инфрастр_472ef9"/>
      <w:r>
        <w:rPr>
          <w:rFonts w:eastAsia="georgia" w:cs="georgia" w:ascii="georgia" w:hAnsi="georgia"/>
          <w:b/>
          <w:color w:val="000000"/>
          <w:sz w:val="24"/>
        </w:rPr>
        <w:t xml:space="preserve">3.4. Индексы риска для инфраструктуры и территорий (требование 3.4)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формировать интегральные индексы риска для территорий и объектов инфраструктуры (требование 3.4):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Расчёт индекса территориального риска.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каждого региона/муниципального образования должен рассчитываться индекс климато‑геокриологического риска, учитывающий совокупную интенсивность и тяжесть аномалий, наличие и состояние объектов инфраструктуры на ММГ и историю ЧС.</w:t>
      </w:r>
      <w:bookmarkStart w:id="39" w:name="fnref13"/>
      <w:bookmarkEnd w:id="39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40" w:name="fnref9_2"/>
      <w:bookmarkEnd w:id="40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41" w:name="fnref11_1"/>
      <w:bookmarkEnd w:id="41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Расчёт индекса риска для объекта.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каждого объекта инфраструктуры индекс должен учитывать: тип и возраст объекта, тип основания и его уязвимость к деградации ММГ, локальные климатические и геокриологические тенденции, а также близость к потенциальным источникам вторичных рисков (например, паводкоопасные зоны, склоны, термокарстовые участки).</w:t>
      </w:r>
      <w:bookmarkStart w:id="42" w:name="fnref11_2"/>
      <w:bookmarkEnd w:id="42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43" w:name="fnref13_1"/>
      <w:bookmarkEnd w:id="43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Классификация рисков.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значениям индексов система должна относить территории и объекты к классам риска (например, низкий, умеренный, высокий, критический), что необходимо для приоритизации плановых обследований, адаптационных мероприятий и сил МЧС.</w:t>
      </w:r>
    </w:p>
    <w:p>
      <w:pPr>
        <w:spacing w:line="360" w:before="315" w:after="105" w:lineRule="auto"/>
        <w:ind w:left="-30"/>
        <w:jc w:val="left"/>
      </w:pPr>
      <w:bookmarkStart w:id="44" w:name="bm_3_5_адаптация_выходов_к_формат_6f89ba"/>
      <w:r>
        <w:rPr>
          <w:rFonts w:eastAsia="georgia" w:cs="georgia" w:ascii="georgia" w:hAnsi="georgia"/>
          <w:b/>
          <w:color w:val="000000"/>
          <w:sz w:val="24"/>
        </w:rPr>
        <w:t xml:space="preserve">3.5. Адаптация выходов к формату ГО и ЧС (требование 3.5)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адаптировать выходные результаты к формату, используемому в системе ГО и ЧС (требование 3.5):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Оценка уровней ЧС.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основе сценариев «аномальных лет/сезонов», индексов риска и анализа истории ЧС система должна формировать ориентировочную оценку вероятных уровней ЧС (муниципальный, региональный, межрегиональный, федеральный) для территории/сценария.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Режимы функционирования РСЧС.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выдавать рекомендации по переходу территориальных подсистем РСЧС в режимы повышенной готовности или режима ЧС при наступлении тех или иных сценариев (по заранее согласованным порогам).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Матрицы мероприятий по стадиям.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каждого сценария должны быть сформированы матрицы мероприятий по стадиям: профилактика, готовность, реагирование, восстановление (например, усиление мониторинга, ограничения эксплуатации, предразвёртывание сил, варианты проведения АСДНР, программ восстановления и модернизации).</w:t>
      </w:r>
    </w:p>
    <w:p>
      <w:pPr>
        <w:spacing w:line="360" w:before="315" w:after="105" w:lineRule="auto"/>
        <w:ind w:left="-30"/>
        <w:jc w:val="left"/>
      </w:pPr>
      <w:bookmarkStart w:id="45" w:name="bm_3_6_поддержка_оперативного_пла_9f00cb"/>
      <w:r>
        <w:rPr>
          <w:rFonts w:eastAsia="georgia" w:cs="georgia" w:ascii="georgia" w:hAnsi="georgia"/>
          <w:b/>
          <w:color w:val="000000"/>
          <w:sz w:val="24"/>
        </w:rPr>
        <w:t xml:space="preserve">3.6. Поддержка оперативного планирования и принятия решений (требование 3.6)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поддерживать оперативную работу дежурно‑диспетчерских служб и аналитических подразделений (требование 3.6):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Режим обновления и оповещения.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обновлять оперативные индикаторы и аномалии не реже одного раза в сутки (при наличии данных) и обеспечивать механизмы оповещения (виджеты, отчёты, сообщения) о наступлении значимых аномальных событий в зоне ММГ.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Оперативные панели мониторинга.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Пользовательский интерфейс должен включать панели мониторинга, отображающие текущие аномалии, индексы риска и потенциальные угрозы для инфраструктуры и населения.</w:t>
      </w:r>
    </w:p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принятия решений.</w:t>
      </w:r>
    </w:p>
    <w:p>
      <w:pPr>
        <w:numPr>
          <w:ilvl w:val="1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основе текущих данных и сценариев система должна предоставлять пользователям рекомендации по возможным действиям (усиление мониторинга, повышенная готовность, подготовка к возможным ЧС), с возможностью интеграции этих рекомендаций в регламентированные процедуры.</w:t>
      </w:r>
    </w:p>
    <w:p>
      <w:pPr>
        <w:spacing w:line="360" w:before="315" w:after="105" w:lineRule="auto"/>
        <w:ind w:left="-30"/>
        <w:jc w:val="left"/>
      </w:pPr>
      <w:bookmarkStart w:id="46" w:name="bm_3_7_сценарный_анализ_и_оценка_fa016f"/>
      <w:r>
        <w:rPr>
          <w:rFonts w:eastAsia="georgia" w:cs="georgia" w:ascii="georgia" w:hAnsi="georgia"/>
          <w:b/>
          <w:color w:val="000000"/>
          <w:sz w:val="24"/>
        </w:rPr>
        <w:t xml:space="preserve">3.7. Сценарный анализ и оценка эффектов адаптации (требование 3.7)</w:t>
      </w:r>
      <w:bookmarkEnd w:id="4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функции сценарного анализа и оценки эффективности адаптационных мер (требование 3.7):</w:t>
      </w:r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Сценарии климатического развития.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анализ риска при альтернативных сценариях изменения климата (варианты изменения температуры и осадков, основанные на результатах климатического моделирования).</w:t>
      </w:r>
      <w:bookmarkStart w:id="47" w:name="fnref8_2"/>
      <w:bookmarkEnd w:id="47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48" w:name="fnref1_7"/>
      <w:bookmarkEnd w:id="4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49" w:name="fnref2_6"/>
      <w:bookmarkEnd w:id="49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Сценарии адаптационных решений.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позволять оценивать, как те или иные меры (усиление оснований, модернизация объектов, изменение норм эксплуатации) влияют на индексы риска и ожидаемое снижение вероятности и тяжести ЧС.</w:t>
      </w:r>
      <w:bookmarkStart w:id="50" w:name="fnref14"/>
      <w:bookmarkEnd w:id="50"/>
      <w:hyperlink w:anchor="fn1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[14]</w:t>
        </w:r>
      </w:hyperlink>
      <w:bookmarkStart w:id="51" w:name="fnref9_3"/>
      <w:bookmarkEnd w:id="51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52" w:name="fnref8_3"/>
      <w:bookmarkEnd w:id="52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9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стратегического планирования.</w:t>
      </w:r>
    </w:p>
    <w:p>
      <w:pPr>
        <w:numPr>
          <w:ilvl w:val="1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Результаты сценарного анализа должны быть представлены в формах, пригодных для включения в стратегические программы развития и адаптации регионов и отраслей.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раздел_4_требования_к_выходной_ин_43559b"/>
      <w:r>
        <w:rPr>
          <w:rFonts w:eastAsia="georgia" w:cs="georgia" w:ascii="georgia" w:hAnsi="georgia"/>
          <w:b/>
          <w:color w:val="000000"/>
          <w:sz w:val="24"/>
        </w:rPr>
        <w:t xml:space="preserve">Раздел 4. Требования к выходной информации и отчётности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bm_4_1_отчётные_формы_для_планиро_74d6e6"/>
      <w:r>
        <w:rPr>
          <w:rFonts w:eastAsia="georgia" w:cs="georgia" w:ascii="georgia" w:hAnsi="georgia"/>
          <w:b/>
          <w:color w:val="000000"/>
          <w:sz w:val="24"/>
        </w:rPr>
        <w:t xml:space="preserve">4.1. Отчётные формы для планирования ГО и ЧС (требование 4.1)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формирование отчётных материалов, пригодных для использования в планах ГО и ЧС и иных управленческих документах (требование 4.1):</w:t>
      </w:r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Сценарные отчёты.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Отчёты по сценариям «аномальных лет/сезонов» для заданных территорий, включающие описание сценария, используемые индикаторы, карты и таблицы аномалий, индексы риска, оценку вероятных уровней ЧС и рекомендуемых режимов функционирования РСЧС.</w:t>
      </w:r>
      <w:bookmarkStart w:id="55" w:name="fnref4_5"/>
      <w:bookmarkEnd w:id="5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6" w:name="fnref12_1"/>
      <w:bookmarkEnd w:id="56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57" w:name="fnref1_8"/>
      <w:bookmarkEnd w:id="5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Отчёты по рискам инфраструктуры.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Отчёты по объектам критической инфраструктуры (по спискам или категориям), с указанием классов риска, ключевых факторов риска и рекомендаций по приоритетам обследования и адаптационных мероприятий.</w:t>
      </w:r>
      <w:bookmarkStart w:id="58" w:name="fnref9_4"/>
      <w:bookmarkEnd w:id="58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59" w:name="fnref13_2"/>
      <w:bookmarkEnd w:id="59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60" w:name="fnref11_3"/>
      <w:bookmarkEnd w:id="60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0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Отчёты по факторам риска и ЧС.</w:t>
      </w:r>
    </w:p>
    <w:p>
      <w:pPr>
        <w:numPr>
          <w:ilvl w:val="1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Отчёты, отражающие статистику связей «аномалии → ЧС» (по типам ЧС, территориям, временным окнам), для использования в аналитической поддержке решений и корректировке планов.</w:t>
      </w:r>
    </w:p>
    <w:p>
      <w:pPr>
        <w:spacing w:line="360" w:before="315" w:after="105" w:lineRule="auto"/>
        <w:ind w:left="-30"/>
        <w:jc w:val="left"/>
      </w:pPr>
      <w:bookmarkStart w:id="61" w:name="bm_4_2_форматы_и_каналы_выдачи_тр_c89d00"/>
      <w:r>
        <w:rPr>
          <w:rFonts w:eastAsia="georgia" w:cs="georgia" w:ascii="georgia" w:hAnsi="georgia"/>
          <w:b/>
          <w:color w:val="000000"/>
          <w:sz w:val="24"/>
        </w:rPr>
        <w:t xml:space="preserve">4.2. Форматы и каналы выдачи (требование 4.2)</w:t>
      </w:r>
      <w:bookmarkEnd w:id="6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поддерживать стандартные форматы и каналы выдачи отчётной информации (требование 4.2):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Форматы файлов.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Табличные данные: CSV, XLSX.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Докладные и аналитические материалы: PDF, HTML (при необходимости — DOCX по согласованию).</w:t>
      </w:r>
    </w:p>
    <w:p>
      <w:pPr>
        <w:numPr>
          <w:ilvl w:val="0"/>
          <w:numId w:val="1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Интерактивные отчёты.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Возможность формирования интерактивных отчётов и панелей (web‑интерфейс), которые могут использоваться в ситуационных центрах и на рабочих местах аналитиков.</w:t>
      </w:r>
    </w:p>
    <w:p>
      <w:pPr>
        <w:spacing w:line="360" w:before="315" w:after="105" w:lineRule="auto"/>
        <w:ind w:left="-30"/>
        <w:jc w:val="left"/>
      </w:pPr>
      <w:bookmarkStart w:id="62" w:name="bm_4_3_визуализация_требование_4_3"/>
      <w:r>
        <w:rPr>
          <w:rFonts w:eastAsia="georgia" w:cs="georgia" w:ascii="georgia" w:hAnsi="georgia"/>
          <w:b/>
          <w:color w:val="000000"/>
          <w:sz w:val="24"/>
        </w:rPr>
        <w:t xml:space="preserve">4.3. Визуализация (требование 4.3)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 визуализацию данных и результатов анализа (требование 4.3):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Картографическое представление.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Отображение станций, объектов и территорий на карте с возможностью отображения аномалий, индексов риска, сценариев и ЧС (по слоям и фильтрам).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Графики и диаграммы.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Построение временных рядов индикаторов и индексов, графиков «аномалии – ЧС», диаграмм распределения по сценариям, классам риска, объектам и территориям.</w:t>
      </w:r>
    </w:p>
    <w:p>
      <w:pPr>
        <w:numPr>
          <w:ilvl w:val="0"/>
          <w:numId w:val="1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Пользовательские настройки.</w:t>
      </w:r>
    </w:p>
    <w:p>
      <w:pPr>
        <w:numPr>
          <w:ilvl w:val="1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Возможность настройки видов и параметров визуализации (выбор временного интервала, набора индикаторов, уровня агрегации).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3" w:name="шаблон_тз_в_markdown_с_уже_вставл_4d75e0"/>
      <w:r>
        <w:rPr>
          <w:rFonts w:eastAsia="georgia" w:cs="georgia" w:ascii="georgia" w:hAnsi="georgia"/>
          <w:b/>
          <w:color w:val="000000"/>
          <w:sz w:val="39"/>
        </w:rPr>
        <w:t xml:space="preserve">Шаблон ТЗ в Markdown (с уже вставленными разделами 2–4)</w:t>
      </w:r>
      <w:bookmarkEnd w:id="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полноценный каркас ТЗ, который вы можете хранить, редактировать и версионировать как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TZ_permafrost_MChS.md</w:t>
      </w:r>
      <w:r>
        <w:rPr>
          <w:rFonts w:eastAsia="georgia" w:cs="georgia" w:ascii="georgia" w:hAnsi="georgia"/>
          <w:color w:val="000000"/>
        </w:rPr>
        <w:t xml:space="preserve">. В нём разделы 2–4 уже заполнены текстом выше, остальные разделы — заготовки (вы сможете либо попросить меня их заполнить, либо дописать вручную).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Техническое задание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на создание информационно‑аналитической системы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«КЛИМАТИЧЕСКАЯ АНОМАЛИЯ → ДЕГРАДАЦИЯ ММГ → ЧС → реакция МЧС»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1. Назначение и область применения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1.1. Основание для разработки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_(заполнить ссылками на решения, приказы, протоколы, внутренние записки)_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1.2. Назначение системы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Информационно‑аналитическая система (далее — Система) предназначена для интегрированного мониторинга климатических, геокриологических, гидрологических и инфраструктурных факторов, влияющих на возникновение чрезвычайных ситуаций (ЧС) в зоне многолетнемёрзлых грунтов (ММГ), и для поддержки риск‑ориентированного планирования сил и средств МЧС и подсистем РСЧС с целью минимизации материального ущерба и числа жертв при ЧС, связанных с деградацией ММГ.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1.3. Область применения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_(география, уровни управления, ведомства — заполнить под конкретный проект)_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2. Требования к входным данным и информационному обеспечению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2.1. Перечень и характеристики входных данных (требование 2.1)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2.1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2.2. Интеграция с внешними источниками и системами (требование 2.2)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2.2 ответа — без изменений)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3. Функциональные требования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3.1. Расчёт индикаторов и аномалий (требование 3.1)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3.1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3.2. Установление связей «аномалии → ЧС» (требование 3.2)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3.2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3.3. Пространственно‑временной анализ и сценарии «аномальных лет/сезонов» (требование 3.3)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3.3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3.4. Индексы риска для инфраструктуры и территорий (требование 3.4)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3.4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3.5. Адаптация выходов к формату ГО и ЧС (требование 3.5)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3.5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3.6. Поддержка оперативного планирования и принятия решений (требование 3.6)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3.6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3.7. Сценарный анализ и оценка эффектов адаптации (требование 3.7)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3.7 ответа — без изменений)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4. Требования к выходной информации и отчётности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4.1. Отчётные формы для планирования ГО и ЧС (требование 4.1)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4.1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4.2. Форматы и каналы выдачи (требование 4.2)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4.2 ответа — без изменений)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### 4.3. Визуализация (требование 4.3)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(сюда вставляем текст из раздела 4.3 ответа — без изменений)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5. Требования к архитектуре, интеграции и технической реализации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_(каркас; можно поручить мне заполнение на следующем шаге)_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5.1. Общая архитектура Системы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5.2. Требования к программно‑аппаратной платформе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5.3. Требования к интеграции с внешними системами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5.4. Требования к производительности, масштабируемости и отказоустойчивости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5.5. Требования к информационной безопасности и защите информации  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6. Требования к составу и содержанию работ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_(сюда перенесём перечень этапов НИР/ОКР на следующем шаге)_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7. Порядок контроля, испытаний и приёмки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_(описать критерии приёмки, испытания на пилотных данных и т. п.)_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8. Требования к эксплуатационной документации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_(перечень: Руководство администратора, Руководство пользователя, Описание алгоритмов и методик и др.)_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## 9. Приложения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Матрица сценариев «аномальный год/сезон → меры по стадиям»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Перечень исходных данных и источников  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Глоссарий используемых терминов  </w:t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вы скажете «заполни раздел 5» (или 6/7) — дальше буду по такому же уровню детализации доводить весь документ до состояния почти готового к согласованию ТЗ.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64" w:name="fn1"/>
    <w:bookmarkEnd w:id="64"/>
    <w:p>
      <w:pPr>
        <w:numPr>
          <w:ilvl w:val="0"/>
          <w:numId w:val="1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5" w:name="fn2"/>
    <w:bookmarkEnd w:id="65"/>
    <w:p>
      <w:pPr>
        <w:numPr>
          <w:ilvl w:val="0"/>
          <w:numId w:val="1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https://www.mdpi.com/2073-4441/12/6/1817/pdf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6" w:name="fn3"/>
    <w:bookmarkEnd w:id="66"/>
    <w:p>
      <w:pPr>
        <w:numPr>
          <w:ilvl w:val="0"/>
          <w:numId w:val="1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https://www.rgs.org/media/yo5dj1e2/poster2thawingpermafrostandrussianarcticinfrastructure.pdf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7" w:name="fn4"/>
    <w:bookmarkEnd w:id="67"/>
    <w:p>
      <w:pPr>
        <w:numPr>
          <w:ilvl w:val="0"/>
          <w:numId w:val="1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https://www.e3s-conferences.org/articles/e3sconf/pdf/2024/28/e3sconf_icape2024_02001.pdf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8" w:name="fn5"/>
    <w:bookmarkEnd w:id="68"/>
    <w:p>
      <w:pPr>
        <w:numPr>
          <w:ilvl w:val="0"/>
          <w:numId w:val="1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https://onlinelibrary.wiley.com/doi/10.1111/anti.70074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69" w:name="fn6"/>
    <w:bookmarkEnd w:id="69"/>
    <w:p>
      <w:pPr>
        <w:numPr>
          <w:ilvl w:val="0"/>
          <w:numId w:val="1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https://www.planetarysecurityinitiative.org/news/permafrost-thaw-puts-russias-arctic-ambitions-risk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0" w:name="fn7"/>
    <w:bookmarkEnd w:id="70"/>
    <w:p>
      <w:pPr>
        <w:numPr>
          <w:ilvl w:val="0"/>
          <w:numId w:val="1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https://theglobalobservatory.org/2021/11/how-permafrost-thaw-puts-the-russian-arctic-at-risk/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1" w:name="fn8"/>
    <w:bookmarkEnd w:id="71"/>
    <w:p>
      <w:pPr>
        <w:numPr>
          <w:ilvl w:val="0"/>
          <w:numId w:val="1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https://globalclimaterisks.org/insights/blog/arctic-permafrost-thaw-impending-infrastructure-crisis/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2" w:name="fn9"/>
    <w:bookmarkEnd w:id="72"/>
    <w:p>
      <w:pPr>
        <w:numPr>
          <w:ilvl w:val="0"/>
          <w:numId w:val="1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3" w:name="fn10"/>
    <w:bookmarkEnd w:id="73"/>
    <w:p>
      <w:pPr>
        <w:numPr>
          <w:ilvl w:val="0"/>
          <w:numId w:val="1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4" w:name="fn11"/>
    <w:bookmarkEnd w:id="74"/>
    <w:p>
      <w:pPr>
        <w:numPr>
          <w:ilvl w:val="0"/>
          <w:numId w:val="1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5" w:name="fn12"/>
    <w:bookmarkEnd w:id="75"/>
    <w:p>
      <w:pPr>
        <w:numPr>
          <w:ilvl w:val="0"/>
          <w:numId w:val="14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https://www.thebarentsobserver.com/climate-crisis/permafrost-might-be-reduced-to-half-by-centurys-end/115249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6" w:name="fn13"/>
    <w:bookmarkEnd w:id="76"/>
    <w:p>
      <w:pPr>
        <w:numPr>
          <w:ilvl w:val="0"/>
          <w:numId w:val="14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https://www.arcus.org/search-program/arctic-answers/permafrost-and-infrastructure/briefs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77" w:name="fn14"/>
    <w:bookmarkEnd w:id="77"/>
    <w:p>
      <w:pPr>
        <w:numPr>
          <w:ilvl w:val="0"/>
          <w:numId w:val="14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40c3da61083e8e862156afcd7d996531d7e3738.png" TargetMode="Internal"/><Relationship Id="rId6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7" Type="http://schemas.openxmlformats.org/officeDocument/2006/relationships/hyperlink" Target="https://www.mdpi.com/2073-4441/12/6/1817/pdf" TargetMode="External"/><Relationship Id="rId8" Type="http://schemas.openxmlformats.org/officeDocument/2006/relationships/hyperlink" Target="https://www.rgs.org/media/yo5dj1e2/poster2thawingpermafrostandrussianarcticinfrastructure.pdf" TargetMode="External"/><Relationship Id="rId9" Type="http://schemas.openxmlformats.org/officeDocument/2006/relationships/hyperlink" Target="https://www.e3s-conferences.org/articles/e3sconf/pdf/2024/28/e3sconf_icape2024_02001.pdf" TargetMode="External"/><Relationship Id="rId10" Type="http://schemas.openxmlformats.org/officeDocument/2006/relationships/hyperlink" Target="https://onlinelibrary.wiley.com/doi/10.1111/anti.70074" TargetMode="External"/><Relationship Id="rId11" Type="http://schemas.openxmlformats.org/officeDocument/2006/relationships/hyperlink" Target="https://www.planetarysecurityinitiative.org/news/permafrost-thaw-puts-russias-arctic-ambitions-risk" TargetMode="External"/><Relationship Id="rId12" Type="http://schemas.openxmlformats.org/officeDocument/2006/relationships/hyperlink" Target="https://theglobalobservatory.org/2021/11/how-permafrost-thaw-puts-the-russian-arctic-at-risk/" TargetMode="External"/><Relationship Id="rId13" Type="http://schemas.openxmlformats.org/officeDocument/2006/relationships/hyperlink" Target="https://globalclimaterisks.org/insights/blog/arctic-permafrost-thaw-impending-infrastructure-crisis/" TargetMode="External"/><Relationship Id="rId14" Type="http://schemas.openxmlformats.org/officeDocument/2006/relationships/hyperlink" Target="https://pmc.ncbi.nlm.nih.gov/articles/PMC8807372/" TargetMode="External"/><Relationship Id="rId15" Type="http://schemas.openxmlformats.org/officeDocument/2006/relationships/hyperlink" Target="https://pmc.ncbi.nlm.nih.gov/articles/PMC10050325/" TargetMode="External"/><Relationship Id="rId16" Type="http://schemas.openxmlformats.org/officeDocument/2006/relationships/hyperlink" Target="https://www.climatechangepost.com/news/strong-impact-of-warming-permafrost-on-russias-buildings-and-infrastructure/" TargetMode="External"/><Relationship Id="rId17" Type="http://schemas.openxmlformats.org/officeDocument/2006/relationships/hyperlink" Target="https://www.thebarentsobserver.com/climate-crisis/permafrost-might-be-reduced-to-half-by-centurys-end/115249" TargetMode="External"/><Relationship Id="rId18" Type="http://schemas.openxmlformats.org/officeDocument/2006/relationships/hyperlink" Target="https://www.arcus.org/search-program/arctic-answers/permafrost-and-infrastructure/briefs" TargetMode="External"/><Relationship Id="rId19" Type="http://schemas.openxmlformats.org/officeDocument/2006/relationships/hyperlink" Target="https://bellona.org/news/arctic/2021-06-permafrost-melt-caused-by-climate-change-could-cost-russia-billions-environmental-minister-say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2026-05-19T13:07:08.075Z</dcterms:created>
  <dcterms:modified xsi:type="dcterms:W3CDTF">2026-05-19T13:07:08.075Z</dcterms:modified>
</cp:coreProperties>
</file>