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2abe0c0a23083a8e0e645361e67075e223c4d48.png"/>
            <a:graphic>
              <a:graphicData uri="http://schemas.openxmlformats.org/drawingml/2006/picture">
                <pic:pic>
                  <pic:nvPicPr>
                    <pic:cNvPr id="1" name="image-72abe0c0a23083a8e0e645361e67075e223c4d4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а_заполните_разделы_5_6_7_и_дале_2ebf8e"/>
      <w:r>
        <w:rPr>
          <w:rFonts w:eastAsia="georgia" w:cs="georgia" w:ascii="georgia" w:hAnsi="georgia"/>
          <w:b/>
          <w:color w:val="000000"/>
          <w:sz w:val="39"/>
        </w:rPr>
        <w:t xml:space="preserve">Да, заполните разделы 5, 6, 7 и далее по такому же уровню детализации доводить весь документ до состояния почти готового к согласованию ТЗ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продолжение ТЗ: разделы 5–9 в том же стиле, что 2–4. Вы можете вставить текст прямо в ранее показанный Markdown‑шаблон.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5_требования_к_архитектуре_инт_adb1cd"/>
      <w:r>
        <w:rPr>
          <w:rFonts w:eastAsia="georgia" w:cs="georgia" w:ascii="georgia" w:hAnsi="georgia"/>
          <w:b/>
          <w:color w:val="000000"/>
          <w:sz w:val="24"/>
        </w:rPr>
        <w:t xml:space="preserve">5. Требования к архитектуре, интеграции и технической реализации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5_1_общая_архитектура_системы_560609"/>
      <w:r>
        <w:rPr>
          <w:rFonts w:eastAsia="georgia" w:cs="georgia" w:ascii="georgia" w:hAnsi="georgia"/>
          <w:b/>
          <w:color w:val="000000"/>
          <w:sz w:val="24"/>
        </w:rPr>
        <w:t xml:space="preserve">5.1. Общая архитектура Системы (требование 5.1)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иметь модульную многоуровневую архитектуру (требование 5.1), включающую как минимум следующие уровни: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Уровень данных (Data Layer).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Хранилище исходных и производных данных (климатических, геокриологических, гидрологических, инфраструктурных, данных о ЧС).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Механизмы загрузки, валидации, трансформации и версионирования наборов данных.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Аналитический уровень (Analytics Layer).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расчёта индикаторов и аномалий.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установления связей «аномалии → ЧС».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расчёта индексов риска для территорий и объектов.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сценарного анализа и оценки эффектов адаптации.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Прикладной уровень (Application Layer).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формирования отчётов и отчётных форм ГО и ЧС.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Модуль подготовки рекомендаций по режимам функционирования РСЧС и мерам по стадиям.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 для доступа к аналитическим результатам внешними системами.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Представление (Presentation Layer).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Веб‑интерфейс для аналитиков и оперативных дежурных.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Визуализационные панели (карты, графики, диаграммы).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Средства экспорта отчётов и данных.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Архитектура должна предусматривать возможность раздельной масштабируемости уровня данных и аналитического уровня (горизонтальное масштабирование по регионам, периодам, типам данных).</w:t>
      </w:r>
    </w:p>
    <w:p>
      <w:pPr>
        <w:spacing w:line="360" w:before="315" w:after="105" w:lineRule="auto"/>
        <w:ind w:left="-30"/>
        <w:jc w:val="left"/>
      </w:pPr>
      <w:bookmarkStart w:id="8" w:name="bm_5_2_требования_к_программно_ап_7b36da"/>
      <w:r>
        <w:rPr>
          <w:rFonts w:eastAsia="georgia" w:cs="georgia" w:ascii="georgia" w:hAnsi="georgia"/>
          <w:b/>
          <w:color w:val="000000"/>
          <w:sz w:val="24"/>
        </w:rPr>
        <w:t xml:space="preserve">5.2. Требования к программно‑аппаратной платформе (требование 5.2)</w:t>
      </w:r>
      <w:bookmarkEnd w:id="8"/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Программная платформа.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Серверная часть Системы должна быть реализована на промышленно применяемых технологиях (например, Python/Java/.NET) с возможностью развёртывания в инфраструктуре заказчика (ЦОД, ведомственное облако).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хранения данных должны применяться СУБД, обеспечивающие работу с большими объёмами временных и пространственных данных (реляционные СУБД с поддержкой геоданных и/или специализированные хранилища).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Аппаратные ресурсы.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Конкретные требования к вычислительным и дисковым ресурсам определяются на этапе проектирования и уточняются по результатам пилотной эксплуатации, исходя из объёмов данных (многолетние ряды) и требуемой периодичности расчётов.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Операционные системы и СУБД.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Поддерживаемые ОС и СУБД согласуются с заказчиком и фиксируются в договоре/плане проекта.</w:t>
      </w:r>
    </w:p>
    <w:p>
      <w:pPr>
        <w:spacing w:line="360" w:before="315" w:after="105" w:lineRule="auto"/>
        <w:ind w:left="-30"/>
        <w:jc w:val="left"/>
      </w:pPr>
      <w:bookmarkStart w:id="9" w:name="bm_5_3_требования_к_интеграции_с_aa433f"/>
      <w:r>
        <w:rPr>
          <w:rFonts w:eastAsia="georgia" w:cs="georgia" w:ascii="georgia" w:hAnsi="georgia"/>
          <w:b/>
          <w:color w:val="000000"/>
          <w:sz w:val="24"/>
        </w:rPr>
        <w:t xml:space="preserve">5.3. Требования к интеграции с внешними системами (требование 5.3)</w:t>
      </w:r>
      <w:bookmarkEnd w:id="9"/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API и форматы обмена.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предоставлять REST‑/SOAP‑API либо другие согласованные интерфейсы для обмена данными с внешними системами мониторинга, а также принимать/выдавать данные в регламентированных форматах (CSV, XML, JSON, др.).</w:t>
      </w:r>
      <w:bookmarkStart w:id="10" w:name="fnref6"/>
      <w:bookmarkEnd w:id="1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" w:name="fnref4_1"/>
      <w:bookmarkEnd w:id="1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Синхронизация с ведомственными системами.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интеграции с информационными системами МЧС и органов ГО и ЧС должны быть реализованы процедуры периодического обмена данными о ЧС, силах и средствах, а также возможные механизмы онлайнового доступа к справочникам (реестрам территорий, объектов и т. п.).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Этапность интеграции.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внешними системами должна выполняться поэтапно: сначала с источниками климатических/геокриологических и гидрологических данных, затем — с системами учёта ЧС и, при необходимости, с корпоративными системами мониторинга инфраструктуры.</w:t>
      </w:r>
    </w:p>
    <w:p>
      <w:pPr>
        <w:spacing w:line="360" w:before="315" w:after="105" w:lineRule="auto"/>
        <w:ind w:left="-30"/>
        <w:jc w:val="left"/>
      </w:pPr>
      <w:bookmarkStart w:id="12" w:name="bm_5_4_требования_к_производитель_458532"/>
      <w:r>
        <w:rPr>
          <w:rFonts w:eastAsia="georgia" w:cs="georgia" w:ascii="georgia" w:hAnsi="georgia"/>
          <w:b/>
          <w:color w:val="000000"/>
          <w:sz w:val="24"/>
        </w:rPr>
        <w:t xml:space="preserve">5.4. Требования к производительности, масштабируемости и отказоустойчивости (требование 5.4)</w:t>
      </w:r>
      <w:bookmarkEnd w:id="12"/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Производительность.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выполнение плановых расчётов индикаторов и аномалий за полный годовой объём данных в разумные сроки (конкретные нормативы рассчитываются на этапе проектирования и закрепляются в эксплуатационной документации).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Среднее время ответа пользовательских интерфейсов на типовые запросы (фильтрация отчётов, отображение карт, графиков) не должно превышать 2–3 секунд при штатной нагрузке.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Масштабируемость.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Архитектура Системы должна обеспечивать возможность расширения на новые регионы и увеличения объёмов данных без существенной переработки программного кода (масштабируемость по числу станций, объектов, лет наблюдений).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Отказоустойчивость и резервирование.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Должны быть предусмотрены механизмы резервного копирования и восстановления данных.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критических компонентов (БД, аналитические сервисы) должны быть предусмотрены решения по отказоустойчивости в соответствии с требованиями заказчика.</w:t>
      </w:r>
    </w:p>
    <w:p>
      <w:pPr>
        <w:spacing w:line="360" w:before="315" w:after="105" w:lineRule="auto"/>
        <w:ind w:left="-30"/>
        <w:jc w:val="left"/>
      </w:pPr>
      <w:bookmarkStart w:id="13" w:name="bm_5_5_требования_к_информационно_b84d74"/>
      <w:r>
        <w:rPr>
          <w:rFonts w:eastAsia="georgia" w:cs="georgia" w:ascii="georgia" w:hAnsi="georgia"/>
          <w:b/>
          <w:color w:val="000000"/>
          <w:sz w:val="24"/>
        </w:rPr>
        <w:t xml:space="preserve">5.5. Требования к информационной безопасности и защите информации (требование 5.5)</w:t>
      </w:r>
      <w:bookmarkEnd w:id="13"/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Разграничение доступа.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аутентификацию и авторизацию пользователей по ролям (администратор, аналитик, оперативный дежурный, просмотр и т. д.), с разграничением прав доступа к данным (особенно при наличии закрытых/служебных сведений).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Защита каналов связи.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Взаимодействие клиент‑сервер и обмен с внешними системами должны осуществляться с использованием защищённых протоколов (например, HTTPS, VPN‑туннели, иные средства, принятые в ведомстве).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Соответствие требованиям.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защите информации должны быть согласованы с подразделениями информационной безопасности заказчика и соответствовать действующим нормативным актам РФ и ведомственным регламентам.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6_требования_к_составу_и_содер_88c17e"/>
      <w:r>
        <w:rPr>
          <w:rFonts w:eastAsia="georgia" w:cs="georgia" w:ascii="georgia" w:hAnsi="georgia"/>
          <w:b/>
          <w:color w:val="000000"/>
          <w:sz w:val="24"/>
        </w:rPr>
        <w:t xml:space="preserve">6. Требования к составу и содержанию работ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6_1_этапы_и_стадии_работ_требо_7cbdc0"/>
      <w:r>
        <w:rPr>
          <w:rFonts w:eastAsia="georgia" w:cs="georgia" w:ascii="georgia" w:hAnsi="georgia"/>
          <w:b/>
          <w:color w:val="000000"/>
          <w:sz w:val="24"/>
        </w:rPr>
        <w:t xml:space="preserve">6.1. Этапы и стадии работ (требование 6.1)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ходе создания Системы рекомендуется выделить следующие этапы (требование 6.1):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1. Научно‑исследовательские работы (НИР).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Анализ существующей наблюдательной базы и источников данных для пилотных регионов.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Уточнение методик расчёта индикаторов и аномалий (климат, ММГ, гидрология) с учётом практики и литературы.</w:t>
      </w:r>
      <w:bookmarkStart w:id="16" w:name="fnref2_1"/>
      <w:bookmarkEnd w:id="1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" w:name="fnref1_1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методики установления связей «аномалии → ЧС» и критериев сценариев «аномальных лет/сезонов».</w:t>
      </w:r>
      <w:bookmarkStart w:id="18" w:name="fnref7"/>
      <w:bookmarkEnd w:id="1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9" w:name="fnref8"/>
      <w:bookmarkEnd w:id="19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0" w:name="fnref9"/>
      <w:bookmarkEnd w:id="2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1" w:name="fnref10"/>
      <w:bookmarkEnd w:id="21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проектного ТЗ (настоящего документа) и согласование подходов с профильными подразделениями МЧС и органов ГО и ЧС.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2. Опытно‑конструкторские работы (ОКР).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архитектуры и прототипа Системы (базовый функционал для одного пилотного региона).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Реализация модулей: загрузка данных, расчёт индикаторов и аномалий, связка «аномалии → ЧС», базовый интерфейс визуализации.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Апробация методик на исторических данных пилотного региона, уточнение параметров и алгоритмов.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3. Пилотная эксплуатация.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Развёртывание Системы в контуре пилотного региона/субъекта РФ.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Обучение пользователей (аналитиков, оперативных дежурных).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Сбор отзывов и замечаний, корректировка интерфейсов и отчётных форм.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Этап 4. Расширение и промышленная эксплуатация.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Расширение Системы на дополнительные регионы и источники данных.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ведомственными информационными системами.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регламентов эксплуатации и сопровождения.</w:t>
      </w:r>
    </w:p>
    <w:p>
      <w:pPr>
        <w:spacing w:line="360" w:before="315" w:after="105" w:lineRule="auto"/>
        <w:ind w:left="-30"/>
        <w:jc w:val="left"/>
      </w:pPr>
      <w:bookmarkStart w:id="22" w:name="bm_6_2_работы_по_методическому_и_9a00ad"/>
      <w:r>
        <w:rPr>
          <w:rFonts w:eastAsia="georgia" w:cs="georgia" w:ascii="georgia" w:hAnsi="georgia"/>
          <w:b/>
          <w:color w:val="000000"/>
          <w:sz w:val="24"/>
        </w:rPr>
        <w:t xml:space="preserve">6.2. Работы по методическому и нормативному обеспечению (требование 6.2)</w:t>
      </w:r>
      <w:bookmarkEnd w:id="22"/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Формализация сценариев и матриц мероприятий.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Разработка и согласование перечня сценариев «аномальных лет/сезонов» и матриц мероприятий (по стадиям профилактика–готовность–реагирование–восстановление) совместно с профильными подразделениями МЧС.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Увязка с документами ГО и ЧС.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Определение форм включения выходов Системы в планы действий по предупреждению и ликвидации ЧС и другие регламентируемые документы.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Документирование методик.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применяемых алгоритмов, порогов и допущений в отдельных методических приложениях к ТЗ.</w:t>
      </w:r>
    </w:p>
    <w:p>
      <w:pPr>
        <w:spacing w:line="360" w:before="315" w:after="105" w:lineRule="auto"/>
        <w:ind w:left="-30"/>
        <w:jc w:val="left"/>
      </w:pPr>
      <w:bookmarkStart w:id="23" w:name="bm_6_3_работы_по_обучению_и_внедр_658d56"/>
      <w:r>
        <w:rPr>
          <w:rFonts w:eastAsia="georgia" w:cs="georgia" w:ascii="georgia" w:hAnsi="georgia"/>
          <w:b/>
          <w:color w:val="000000"/>
          <w:sz w:val="24"/>
        </w:rPr>
        <w:t xml:space="preserve">6.3. Работы по обучению и внедрению (требование 6.3)</w:t>
      </w:r>
      <w:bookmarkEnd w:id="23"/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Обучающие материалы.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Подготовка руководств пользователя, обучающих презентаций, примеров типовых сценариев работы с Системой.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Обучение персонала.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обучающих мероприятий (курсы, вебинары) для пользователей пилотного региона, затем — для расширенных групп.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в период внедрения.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Организация линии консультаций (службы поддержки) на период пилотной и ранней промышленной эксплуатации.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7_порядок_контроля_испытаний_и_2273f7"/>
      <w:r>
        <w:rPr>
          <w:rFonts w:eastAsia="georgia" w:cs="georgia" w:ascii="georgia" w:hAnsi="georgia"/>
          <w:b/>
          <w:color w:val="000000"/>
          <w:sz w:val="24"/>
        </w:rPr>
        <w:t xml:space="preserve">7. Порядок контроля, испытаний и приёмки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bm_7_1_виды_испытаний_требование_7_1"/>
      <w:r>
        <w:rPr>
          <w:rFonts w:eastAsia="georgia" w:cs="georgia" w:ascii="georgia" w:hAnsi="georgia"/>
          <w:b/>
          <w:color w:val="000000"/>
          <w:sz w:val="24"/>
        </w:rPr>
        <w:t xml:space="preserve">7.1. Виды испытаний (требование 7.1)</w:t>
      </w:r>
      <w:bookmarkEnd w:id="25"/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Предварительные испытания.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Проверка работоспособности основных модулей Системы (загрузка данных, расчёт индикаторов, аномалий, формирование отчётов) на тестовом стенде.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Опытная эксплуатация (пилотные испытания).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Испытания в условиях реальной эксплуатации в пилотном регионе на исторических и оперативных данных.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корректности результатов, удобства интерфейсов, интеграции с рабочими процессами.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Приёмочные испытания.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Проведение комплексных испытаний Системы в соответствии с программой и методикой испытаний, согласованными с заказчиком, с участием представителей профильных подразделений.</w:t>
      </w:r>
    </w:p>
    <w:p>
      <w:pPr>
        <w:spacing w:line="360" w:before="315" w:after="105" w:lineRule="auto"/>
        <w:ind w:left="-30"/>
        <w:jc w:val="left"/>
      </w:pPr>
      <w:bookmarkStart w:id="26" w:name="bm_7_2_критерии_приёмки_требование_7_2"/>
      <w:r>
        <w:rPr>
          <w:rFonts w:eastAsia="georgia" w:cs="georgia" w:ascii="georgia" w:hAnsi="georgia"/>
          <w:b/>
          <w:color w:val="000000"/>
          <w:sz w:val="24"/>
        </w:rPr>
        <w:t xml:space="preserve">7.2. Критерии приёмки (требование 7.2)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может быть принята в промышленную эксплуатацию при выполнении следующих условий (требование 7.2):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Функциональные критерии.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Реализованы все ключевые функции, указанные в разделе 3 (расчёт индикаторов и аномалий, связка «аномалии → ЧС», индексы риска, сценарный анализ, формирование отчётности для ГО и ЧС).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контрольных исторических данных Система корректно выявляет известные аномальные периоды и реконструирует связи с фактическими ЧС (по согласованному набору тестовых кейсов).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пригодности для планирования.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Отчётные формы и сценарные рекомендации признаны профильными подразделениями МЧС пригодными для использования при разработке планов ГО и ЧС (наличие заключения/акта).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производительности и устойчивости.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выполняет регламентные расчёты и формирует отчёты в согласованные сроки.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демонстрирует стабильную работу в течение оговорённого времени пилотной эксплуатации.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Критерии интеграции.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интегрирована с согласованными внешними источниками данных и ведомственными системами на уровне, достаточном для пилотной эксплуатации.</w:t>
      </w:r>
    </w:p>
    <w:p>
      <w:pPr>
        <w:spacing w:line="360" w:before="315" w:after="105" w:lineRule="auto"/>
        <w:ind w:left="-30"/>
        <w:jc w:val="left"/>
      </w:pPr>
      <w:bookmarkStart w:id="27" w:name="bm_7_3_документация_по_результата_b597b3"/>
      <w:r>
        <w:rPr>
          <w:rFonts w:eastAsia="georgia" w:cs="georgia" w:ascii="georgia" w:hAnsi="georgia"/>
          <w:b/>
          <w:color w:val="000000"/>
          <w:sz w:val="24"/>
        </w:rPr>
        <w:t xml:space="preserve">7.3. Документация по результатам испытаний (требование 7.3)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испытаний должны быть оформлены: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программа и методика испытаний;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протоколы испытаний (предварительных, пилотных, приёмочных);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 приёмки в промышленную эксплуатацию (при положительном результате).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8_требования_к_эксплуатационно_f9c416"/>
      <w:r>
        <w:rPr>
          <w:rFonts w:eastAsia="georgia" w:cs="georgia" w:ascii="georgia" w:hAnsi="georgia"/>
          <w:b/>
          <w:color w:val="000000"/>
          <w:sz w:val="24"/>
        </w:rPr>
        <w:t xml:space="preserve">8. Требования к эксплуатационной документации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bm_8_1_состав_эксплуатационной_до_34815a"/>
      <w:r>
        <w:rPr>
          <w:rFonts w:eastAsia="georgia" w:cs="georgia" w:ascii="georgia" w:hAnsi="georgia"/>
          <w:b/>
          <w:color w:val="000000"/>
          <w:sz w:val="24"/>
        </w:rPr>
        <w:t xml:space="preserve">8.1. Состав эксплуатационной документации (требование 8.1)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разработки должны быть подготовлены следующие документы: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Руководство администратора.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установки, конфигурации и обновления Системы.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настройки источников данных и интеграций.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Руководство пользователя.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интерфейса и функций для различных ролей (аналитик, оперативный дежурный и др.).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Пошаговые инструкции по выполнению типовых задач (анализ сезона, формирование отчёта, просмотр сценариев и т. д.).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Описание алгоритмов и методик.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Подробное описание используемых алгоритмов расчёта индикаторов, выявления аномалий, связки «аномалии → ЧС», расчёта индексов риска и сценарного анализа, с указанием источников методик.</w:t>
      </w:r>
      <w:bookmarkStart w:id="30" w:name="fnref3_1"/>
      <w:bookmarkEnd w:id="3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1" w:name="fnref1_2"/>
      <w:bookmarkEnd w:id="3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2" w:name="fnref2_2"/>
      <w:bookmarkEnd w:id="3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Описание форматов данных и интеграций.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схем данных, форматов файлов и API, используемых для обмена с внешними системами.</w:t>
      </w:r>
    </w:p>
    <w:p>
      <w:pPr>
        <w:spacing w:line="360" w:before="315" w:after="105" w:lineRule="auto"/>
        <w:ind w:left="-30"/>
        <w:jc w:val="left"/>
      </w:pPr>
      <w:bookmarkStart w:id="33" w:name="bm_8_2_требования_к_оформлению_и_4be625"/>
      <w:r>
        <w:rPr>
          <w:rFonts w:eastAsia="georgia" w:cs="georgia" w:ascii="georgia" w:hAnsi="georgia"/>
          <w:b/>
          <w:color w:val="000000"/>
          <w:sz w:val="24"/>
        </w:rPr>
        <w:t xml:space="preserve">8.2. Требования к оформлению и актуализации документации (требование 8.2)</w:t>
      </w:r>
      <w:bookmarkEnd w:id="33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Документация должна быть подготовлена в электронном виде (PDF/HTML, при необходимости DOCX) и, по согласованию, в печатном виде.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Должен быть установлен порядок актуализации документации при внесении изменений в Систему (версии, история изменений).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9_приложения"/>
      <w:r>
        <w:rPr>
          <w:rFonts w:eastAsia="georgia" w:cs="georgia" w:ascii="georgia" w:hAnsi="georgia"/>
          <w:b/>
          <w:color w:val="000000"/>
          <w:sz w:val="24"/>
        </w:rPr>
        <w:t xml:space="preserve">9. Приложения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9_1_матрица_сценариев_аномальн_483f05"/>
      <w:r>
        <w:rPr>
          <w:rFonts w:eastAsia="georgia" w:cs="georgia" w:ascii="georgia" w:hAnsi="georgia"/>
          <w:b/>
          <w:color w:val="000000"/>
          <w:sz w:val="24"/>
        </w:rPr>
        <w:t xml:space="preserve">9.1. Матрица сценариев «аномальный год/сезон → меры по стадиям» (приложение 1)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приложение 1 включается матрица сценариев, разработанная на основе анализа связей между климатическими и геокриологическими аномалиями, деградацией ММГ, ЧС и рекомендуемыми мерами по стадиям (профилактика, готовность, реагирование, восстановление).</w:t>
      </w:r>
    </w:p>
    <w:p>
      <w:pPr>
        <w:spacing w:line="360" w:before="315" w:after="105" w:lineRule="auto"/>
        <w:ind w:left="-30"/>
        <w:jc w:val="left"/>
      </w:pPr>
      <w:bookmarkStart w:id="36" w:name="bm_9_2_перечень_исходных_данных_и_801553"/>
      <w:r>
        <w:rPr>
          <w:rFonts w:eastAsia="georgia" w:cs="georgia" w:ascii="georgia" w:hAnsi="georgia"/>
          <w:b/>
          <w:color w:val="000000"/>
          <w:sz w:val="24"/>
        </w:rPr>
        <w:t xml:space="preserve">9.2. Перечень исходных данных и источников (приложение 2)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приложение 2 включается: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типов данных и источников (метеорологические службы, геокриологические станции, CALM‑сети, гидрологические службы, ведомственные статистики ЧС и др.);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ссылки на ключевые научные и аналитические работы, использованные при разработке методик.</w:t>
      </w:r>
      <w:bookmarkStart w:id="37" w:name="fnref8_1"/>
      <w:bookmarkEnd w:id="3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8" w:name="fnref9_1"/>
      <w:bookmarkEnd w:id="3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9" w:name="fnref10_1"/>
      <w:bookmarkEnd w:id="3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40" w:name="fnref11"/>
      <w:bookmarkEnd w:id="4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41" w:name="bm_9_3_глоссарий_терминов_приложение_3"/>
      <w:r>
        <w:rPr>
          <w:rFonts w:eastAsia="georgia" w:cs="georgia" w:ascii="georgia" w:hAnsi="georgia"/>
          <w:b/>
          <w:color w:val="000000"/>
          <w:sz w:val="24"/>
        </w:rPr>
        <w:t xml:space="preserve">9.3. Глоссарий терминов (приложение 3)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Глоссарий должен содержать определения терминов (ММГ, ALT, MAGST, TTOP, TDD/FDD, сценарий «аномального года», индекс риска, уровни ЧС, режимы функционирования РСЧС и т. д.), используемых в Системе и документации.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Документ в этом виде уже близок к версии, пригодной для служебного согласования. Если хотите, следующим шагом могу собрать всё в один Markdown‑текст без комментариев и служебных вставок, чтобы вы могли сразу положить его в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C:\Git\...</w:t>
      </w:r>
      <w:r>
        <w:rPr>
          <w:rFonts w:eastAsia="georgia" w:cs="georgia" w:ascii="georgia" w:hAnsi="georgia"/>
          <w:color w:val="000000"/>
        </w:rPr>
        <w:t xml:space="preserve"> или в систему документооборота.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2" w:name="fn1"/>
    <w:bookmarkEnd w:id="42"/>
    <w:p>
      <w:pPr>
        <w:numPr>
          <w:ilvl w:val="0"/>
          <w:numId w:val="1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2"/>
    <w:bookmarkEnd w:id="43"/>
    <w:p>
      <w:pPr>
        <w:numPr>
          <w:ilvl w:val="0"/>
          <w:numId w:val="1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3"/>
    <w:bookmarkEnd w:id="44"/>
    <w:p>
      <w:pPr>
        <w:numPr>
          <w:ilvl w:val="0"/>
          <w:numId w:val="1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4"/>
    <w:bookmarkEnd w:id="45"/>
    <w:p>
      <w:pPr>
        <w:numPr>
          <w:ilvl w:val="0"/>
          <w:numId w:val="1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5"/>
    <w:bookmarkEnd w:id="46"/>
    <w:p>
      <w:pPr>
        <w:numPr>
          <w:ilvl w:val="0"/>
          <w:numId w:val="1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6"/>
    <w:bookmarkEnd w:id="47"/>
    <w:p>
      <w:pPr>
        <w:numPr>
          <w:ilvl w:val="0"/>
          <w:numId w:val="1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7"/>
    <w:bookmarkEnd w:id="48"/>
    <w:p>
      <w:pPr>
        <w:numPr>
          <w:ilvl w:val="0"/>
          <w:numId w:val="1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8"/>
    <w:bookmarkEnd w:id="49"/>
    <w:p>
      <w:pPr>
        <w:numPr>
          <w:ilvl w:val="0"/>
          <w:numId w:val="1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9"/>
    <w:bookmarkEnd w:id="50"/>
    <w:p>
      <w:pPr>
        <w:numPr>
          <w:ilvl w:val="0"/>
          <w:numId w:val="1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10"/>
    <w:bookmarkEnd w:id="51"/>
    <w:p>
      <w:pPr>
        <w:numPr>
          <w:ilvl w:val="0"/>
          <w:numId w:val="1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11"/>
    <w:bookmarkEnd w:id="52"/>
    <w:p>
      <w:pPr>
        <w:numPr>
          <w:ilvl w:val="0"/>
          <w:numId w:val="1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2abe0c0a23083a8e0e645361e67075e223c4d48.png" TargetMode="Internal"/><Relationship Id="rId6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7" Type="http://schemas.openxmlformats.org/officeDocument/2006/relationships/hyperlink" Target="https://www.mdpi.com/2073-4441/12/6/1817/pdf" TargetMode="External"/><Relationship Id="rId8" Type="http://schemas.openxmlformats.org/officeDocument/2006/relationships/hyperlink" Target="https://globalclimaterisks.org/insights/blog/arctic-permafrost-thaw-impending-infrastructure-crisis/" TargetMode="External"/><Relationship Id="rId9" Type="http://schemas.openxmlformats.org/officeDocument/2006/relationships/hyperlink" Target="https://onlinelibrary.wiley.com/doi/10.1111/anti.70074" TargetMode="External"/><Relationship Id="rId10" Type="http://schemas.openxmlformats.org/officeDocument/2006/relationships/hyperlink" Target="https://www.planetarysecurityinitiative.org/news/permafrost-thaw-puts-russias-arctic-ambitions-risk" TargetMode="External"/><Relationship Id="rId11" Type="http://schemas.openxmlformats.org/officeDocument/2006/relationships/hyperlink" Target="https://theglobalobservatory.org/2021/11/how-permafrost-thaw-puts-the-russian-arctic-at-risk/" TargetMode="External"/><Relationship Id="rId12" Type="http://schemas.openxmlformats.org/officeDocument/2006/relationships/hyperlink" Target="https://www.e3s-conferences.org/articles/e3sconf/pdf/2024/28/e3sconf_icape2024_02001.pdf" TargetMode="External"/><Relationship Id="rId13" Type="http://schemas.openxmlformats.org/officeDocument/2006/relationships/hyperlink" Target="https://pmc.ncbi.nlm.nih.gov/articles/PMC8807372/" TargetMode="External"/><Relationship Id="rId14" Type="http://schemas.openxmlformats.org/officeDocument/2006/relationships/hyperlink" Target="https://pmc.ncbi.nlm.nih.gov/articles/PMC10050325/" TargetMode="External"/><Relationship Id="rId15" Type="http://schemas.openxmlformats.org/officeDocument/2006/relationships/hyperlink" Target="https://www.climatechangepost.com/news/strong-impact-of-warming-permafrost-on-russias-buildings-and-infrastructure/" TargetMode="External"/><Relationship Id="rId16" Type="http://schemas.openxmlformats.org/officeDocument/2006/relationships/hyperlink" Target="https://bellona.org/news/arctic/2021-06-permafrost-melt-caused-by-climate-change-could-cost-russia-billions-environmental-minister-say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2026-05-19T13:11:11.800Z</dcterms:created>
  <dcterms:modified xsi:type="dcterms:W3CDTF">2026-05-19T13:11:11.800Z</dcterms:modified>
</cp:coreProperties>
</file>