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213b51538dd5d0c3d50804f3200871f86b940060.png"/>
            <a:graphic>
              <a:graphicData uri="http://schemas.openxmlformats.org/drawingml/2006/picture">
                <pic:pic>
                  <pic:nvPicPr>
                    <pic:cNvPr id="1" name="image-213b51538dd5d0c3d50804f3200871f86b940060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доказать_или_опровергнуть_следующ_681c99"/>
      <w:r>
        <w:rPr>
          <w:rFonts w:eastAsia="georgia" w:cs="georgia" w:ascii="georgia" w:hAnsi="georgia"/>
          <w:b/>
          <w:color w:val="000000"/>
          <w:sz w:val="39"/>
        </w:rPr>
        <w:t xml:space="preserve">Доказать (или опровергнуть) следующую цепочку: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КЛИМАТИЧЕСКАЯ АНОМАЛИЯ → ДЕГРАДАЦИЯ ММГ → ЧС → нужна реакция МЧС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На выходе: таблица «аномальный год → сценарий → меры реагирования»,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которую можно использовать как методическую основу для планирования.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Цепочку «климатическая аномалия → деградация многолетнемёрзлых грунтов (ММГ) → ЧС → нужна реакция МЧС» в целом можно считать корректной для арктической и субарктической зон России: есть как теоретическая обоснованность, так и реальные примеры (Норильск‑2020 и др.). Однако она не универсальна: не всякая климатическая аномалия ведёт через деградацию ММГ к ЧС, и не вся деградация ММГ завершается внезапной ЧС, но для планирования это полезный риск‑ориентированный сценарий.</w:t>
      </w:r>
      <w:bookmarkStart w:id="1" w:name="fnref1"/>
      <w:bookmarkEnd w:id="1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bookmarkStart w:id="2" w:name="fnref2"/>
      <w:bookmarkEnd w:id="2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bookmarkStart w:id="3" w:name="fnref3"/>
      <w:bookmarkEnd w:id="3"/>
      <w:hyperlink w:anchor="fn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[3]</w:t>
        </w:r>
      </w:hyperlink>
      <w:bookmarkStart w:id="4" w:name="fnref4"/>
      <w:bookmarkEnd w:id="4"/>
      <w:hyperlink w:anchor="fn4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[4]</w:t>
        </w:r>
      </w:hyperlink>
      <w:bookmarkStart w:id="5" w:name="fnref5"/>
      <w:bookmarkEnd w:id="5"/>
      <w:hyperlink w:anchor="fn5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[5]</w:t>
        </w:r>
      </w:hyperlink>
      <w:bookmarkStart w:id="6" w:name="fnref6"/>
      <w:bookmarkEnd w:id="6"/>
      <w:hyperlink w:anchor="fn6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[6]</w:t>
        </w:r>
      </w:hyperlink>
      <w:bookmarkStart w:id="7" w:name="fnref7"/>
      <w:bookmarkEnd w:id="7"/>
      <w:hyperlink w:anchor="fn7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[7]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8" w:name="обоснование_звена_аномалия_климат_a794c7"/>
      <w:r>
        <w:rPr>
          <w:rFonts w:eastAsia="georgia" w:cs="georgia" w:ascii="georgia" w:hAnsi="georgia"/>
          <w:b/>
          <w:color w:val="000000"/>
          <w:sz w:val="24"/>
        </w:rPr>
        <w:t xml:space="preserve">Обоснование звена «аномалия климата → деградация ММГ»</w:t>
      </w:r>
      <w:bookmarkEnd w:id="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В северных регионах России устойчивое потепление и изменение режима осадков уже приводят к активизации криогенных процессов: вытаивание подземного льда, неравномерная просадка грунта, пучение и разрушение берегов. ММГ официально признаются уязвимым компонентом природной среды, от состояния которого зависит рельеф, береговая линия и устойчивость инфраструктуры.</w:t>
      </w:r>
      <w:bookmarkStart w:id="9" w:name="fnref2_1"/>
      <w:bookmarkEnd w:id="9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bookmarkStart w:id="10" w:name="fnref3_1"/>
      <w:bookmarkEnd w:id="10"/>
      <w:hyperlink w:anchor="fn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[3]</w:t>
        </w:r>
      </w:hyperlink>
      <w:bookmarkStart w:id="11" w:name="fnref5_1"/>
      <w:bookmarkEnd w:id="11"/>
      <w:hyperlink w:anchor="fn5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[5]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Исследования показывают, что при сценариях дальнейшего потепления к середине XXI века деградация ММГ в криолитозоне может привести к деформациям и разрушениям объектов здравоохранения и образования с совокупным ущербом десятки и сотни миллиардов рублей, что подтверждает системный характер риска.</w:t>
      </w:r>
      <w:bookmarkStart w:id="12" w:name="fnref4_1"/>
      <w:bookmarkEnd w:id="12"/>
      <w:hyperlink w:anchor="fn4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[4]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3" w:name="обоснование_звена_деградация_ммг_чс"/>
      <w:r>
        <w:rPr>
          <w:rFonts w:eastAsia="georgia" w:cs="georgia" w:ascii="georgia" w:hAnsi="georgia"/>
          <w:b/>
          <w:color w:val="000000"/>
          <w:sz w:val="24"/>
        </w:rPr>
        <w:t xml:space="preserve">Обоснование звена «деградация ММГ → ЧС»</w:t>
      </w:r>
      <w:bookmarkEnd w:id="1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Потеря несущей способности мерзлых грунтов вызывает деформации и разрушения зданий, опор мостов, дорог, резервуаров и трубопроводов, что уже фиксируется на севере России. Для нефтегазовой инфраструктуры на ММГ прямо указываются риски утечек нефти и газа, разгерметизации резервуаров и аварий на трубопроводах из‑за просадки оснований.</w:t>
      </w:r>
      <w:bookmarkStart w:id="14" w:name="fnref3_2"/>
      <w:bookmarkEnd w:id="14"/>
      <w:hyperlink w:anchor="fn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[3]</w:t>
        </w:r>
      </w:hyperlink>
      <w:bookmarkStart w:id="15" w:name="fnref8"/>
      <w:bookmarkEnd w:id="15"/>
      <w:hyperlink w:anchor="fn8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[8]</w:t>
        </w:r>
      </w:hyperlink>
      <w:bookmarkStart w:id="16" w:name="fnref2_2"/>
      <w:bookmarkEnd w:id="16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С точки зрения действующей системы предупреждения и ликвидации ЧС (РСЧС) аварии с массовыми повреждениями объектов и загрязнением среды квалифицируются как ЧС техногенного или природно‑техногенного характера, что отражено в учебно‑методической литературе и методических рекомендациях МЧС по планированию действий.</w:t>
      </w:r>
      <w:bookmarkStart w:id="17" w:name="fnref9"/>
      <w:bookmarkEnd w:id="17"/>
      <w:hyperlink w:anchor="fn9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[9]</w:t>
        </w:r>
      </w:hyperlink>
      <w:bookmarkStart w:id="18" w:name="fnref10"/>
      <w:bookmarkEnd w:id="18"/>
      <w:hyperlink w:anchor="fn10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[10]</w:t>
        </w:r>
      </w:hyperlink>
      <w:bookmarkStart w:id="19" w:name="fnref11"/>
      <w:bookmarkEnd w:id="19"/>
      <w:hyperlink w:anchor="fn1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[11]</w:t>
        </w:r>
      </w:hyperlink>
      <w:bookmarkStart w:id="20" w:name="fnref1_1"/>
      <w:bookmarkEnd w:id="20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1" w:name="обоснование_звена_чс_нужна_реакция_мчс"/>
      <w:r>
        <w:rPr>
          <w:rFonts w:eastAsia="georgia" w:cs="georgia" w:ascii="georgia" w:hAnsi="georgia"/>
          <w:b/>
          <w:color w:val="000000"/>
          <w:sz w:val="24"/>
        </w:rPr>
        <w:t xml:space="preserve">Обоснование звена «ЧС → нужна реакция МЧС»</w:t>
      </w:r>
      <w:bookmarkEnd w:id="2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Ликвидация крупных разливов нефтепродуктов, аварий на опасных производственных объектах и объектах ТЭК отнесена к задачам ЕГС РСЧС и МЧС России, с привлечением сил федерального и регионального уровней. Примером является авария на ТЭЦ‑3 в Норильске в 2020 году: вследствие просадки свайного основания резервуара на фоне оттаивания мерзлоты произошёл разлив свыше 20 тыс. тонн дизельного топлива в водотоки, для ликвидации было привлечено около 500 человек и более 70 единиц техники, в т. ч. МЧС.</w:t>
      </w:r>
      <w:bookmarkStart w:id="22" w:name="fnref12"/>
      <w:bookmarkEnd w:id="22"/>
      <w:hyperlink w:anchor="fn1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[12]</w:t>
        </w:r>
      </w:hyperlink>
      <w:bookmarkStart w:id="23" w:name="fnref13"/>
      <w:bookmarkEnd w:id="23"/>
      <w:hyperlink w:anchor="fn1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[13]</w:t>
        </w:r>
      </w:hyperlink>
      <w:bookmarkStart w:id="24" w:name="fnref10_1"/>
      <w:bookmarkEnd w:id="24"/>
      <w:hyperlink w:anchor="fn10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[10]</w:t>
        </w:r>
      </w:hyperlink>
      <w:bookmarkStart w:id="25" w:name="fnref6_1"/>
      <w:bookmarkEnd w:id="25"/>
      <w:hyperlink w:anchor="fn6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[6]</w:t>
        </w:r>
      </w:hyperlink>
      <w:bookmarkStart w:id="26" w:name="fnref11_1"/>
      <w:bookmarkEnd w:id="26"/>
      <w:hyperlink w:anchor="fn1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[11]</w:t>
        </w:r>
      </w:hyperlink>
      <w:bookmarkStart w:id="27" w:name="fnref7_1"/>
      <w:bookmarkEnd w:id="27"/>
      <w:hyperlink w:anchor="fn7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[7]</w:t>
        </w:r>
      </w:hyperlink>
      <w:bookmarkStart w:id="28" w:name="fnref9_1"/>
      <w:bookmarkEnd w:id="28"/>
      <w:hyperlink w:anchor="fn9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[9]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Федеральные и региональные планы действий прямо предусматривают организацию мониторинга опасных природных процессов, разработку планов ликвидации ЧС и координацию работ по спасению людей и защите территорий, что делает участие МЧС неизбежным звеном цепочки при наступлении ЧС такого типа.</w:t>
      </w:r>
      <w:bookmarkStart w:id="29" w:name="fnref10_2"/>
      <w:bookmarkEnd w:id="29"/>
      <w:hyperlink w:anchor="fn10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[10]</w:t>
        </w:r>
      </w:hyperlink>
      <w:bookmarkStart w:id="30" w:name="fnref11_2"/>
      <w:bookmarkEnd w:id="30"/>
      <w:hyperlink w:anchor="fn1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[11]</w:t>
        </w:r>
      </w:hyperlink>
      <w:bookmarkStart w:id="31" w:name="fnref9_2"/>
      <w:bookmarkEnd w:id="31"/>
      <w:hyperlink w:anchor="fn9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[9]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2" w:name="примеры_подтверждающие_и_уточняющ_86fb56"/>
      <w:r>
        <w:rPr>
          <w:rFonts w:eastAsia="georgia" w:cs="georgia" w:ascii="georgia" w:hAnsi="georgia"/>
          <w:b/>
          <w:color w:val="000000"/>
          <w:sz w:val="24"/>
        </w:rPr>
        <w:t xml:space="preserve">Примеры, подтверждающие и уточняющие цепочку</w:t>
      </w:r>
      <w:bookmarkEnd w:id="3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В Норильске в 2020 году причиной разгерметизации резервуара № 5 ТЭЦ‑3 официально признана просадка свайного основания из‑за оттаивания вечной мерзлоты, что иллюстрирует связку «климатическое потепление → деградация ММГ → авария → ЧС → действия МЧС». На фоне общего тренда потепления в Арктике именно деградация ММГ рассматривается государством как фактор растущего числа аварий на промышленных и жилищно‑коммунальных объектах.</w:t>
      </w:r>
      <w:bookmarkStart w:id="33" w:name="fnref13_1"/>
      <w:bookmarkEnd w:id="33"/>
      <w:hyperlink w:anchor="fn1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[13]</w:t>
        </w:r>
      </w:hyperlink>
      <w:bookmarkStart w:id="34" w:name="fnref5_2"/>
      <w:bookmarkEnd w:id="34"/>
      <w:hyperlink w:anchor="fn5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[5]</w:t>
        </w:r>
      </w:hyperlink>
      <w:bookmarkStart w:id="35" w:name="fnref6_2"/>
      <w:bookmarkEnd w:id="35"/>
      <w:hyperlink w:anchor="fn6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[6]</w:t>
        </w:r>
      </w:hyperlink>
      <w:bookmarkStart w:id="36" w:name="fnref7_2"/>
      <w:bookmarkEnd w:id="36"/>
      <w:hyperlink w:anchor="fn7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[7]</w:t>
        </w:r>
      </w:hyperlink>
      <w:bookmarkStart w:id="37" w:name="fnref12_1"/>
      <w:bookmarkEnd w:id="37"/>
      <w:hyperlink w:anchor="fn1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[12]</w:t>
        </w:r>
      </w:hyperlink>
      <w:bookmarkStart w:id="38" w:name="fnref3_3"/>
      <w:bookmarkEnd w:id="38"/>
      <w:hyperlink w:anchor="fn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Одновременно есть и другие типы климатических аномалий, когда цепочка короче: например, в 1979 году при экстремально низких температурах в Норильском регионе произошло разрушение газопровода Мессояха–Норильск с разрывом труб на участке порядка 80 км, что привело к крупной аварии без посредующего звена «деградация ММГ». Это показывает, что предложенная цепочка описывает не все возможные ЧС, а специфический класс сценариев, связанных именно с потеплением и ММГ.</w:t>
      </w:r>
      <w:bookmarkStart w:id="39" w:name="fnref14"/>
      <w:bookmarkEnd w:id="39"/>
      <w:hyperlink w:anchor="fn14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[14]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0" w:name="ограничения_применимости_цепочки"/>
      <w:r>
        <w:rPr>
          <w:rFonts w:eastAsia="georgia" w:cs="georgia" w:ascii="georgia" w:hAnsi="georgia"/>
          <w:b/>
          <w:color w:val="000000"/>
          <w:sz w:val="24"/>
        </w:rPr>
        <w:t xml:space="preserve">Ограничения применимости цепочки</w:t>
      </w:r>
      <w:bookmarkEnd w:id="4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Деградация ММГ часто развивается постепенно и сначала приводит к медленным деформациям (трещины, перекосы зданий), а не к мгновенной ЧС, поэтому важнейшая задача — ранний мониторинг и превентивный ремонт, не доводя до стадии ЧС. Кроме того, на инфраструктурные аварии влияют эксплуатационные нарушения, ошибки проектирования и старение конструкций, поэтому причинно‑следственная связь «аномалия → ЧС» всегда вероятностная, а не детерминированная.</w:t>
      </w:r>
      <w:bookmarkStart w:id="41" w:name="fnref15"/>
      <w:bookmarkEnd w:id="41"/>
      <w:hyperlink w:anchor="fn15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[15]</w:t>
        </w:r>
      </w:hyperlink>
      <w:bookmarkStart w:id="42" w:name="fnref8_1"/>
      <w:bookmarkEnd w:id="42"/>
      <w:hyperlink w:anchor="fn8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[8]</w:t>
        </w:r>
      </w:hyperlink>
      <w:bookmarkStart w:id="43" w:name="fnref1_2"/>
      <w:bookmarkEnd w:id="43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bookmarkStart w:id="44" w:name="fnref2_3"/>
      <w:bookmarkEnd w:id="44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bookmarkStart w:id="45" w:name="fnref3_4"/>
      <w:bookmarkEnd w:id="45"/>
      <w:hyperlink w:anchor="fn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В нормативных документах МЧС и РСЧС акцент делается на риск‑ориентированном планировании: климатическая аномалия и деградация ММГ рассматриваются как опасные факторы, требующие учёта в планах действий, но не гарантирующие ЧС в каждом конкретном году. Для целей планирования удобно работать именно со сценариями, а не с жёсткой детерминированной цепочкой.</w:t>
      </w:r>
      <w:bookmarkStart w:id="46" w:name="fnref11_3"/>
      <w:bookmarkEnd w:id="46"/>
      <w:hyperlink w:anchor="fn1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[11]</w:t>
        </w:r>
      </w:hyperlink>
      <w:bookmarkStart w:id="47" w:name="fnref9_3"/>
      <w:bookmarkEnd w:id="47"/>
      <w:hyperlink w:anchor="fn9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[9]</w:t>
        </w:r>
      </w:hyperlink>
      <w:bookmarkStart w:id="48" w:name="fnref10_3"/>
      <w:bookmarkEnd w:id="48"/>
      <w:hyperlink w:anchor="fn10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[10]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9" w:name="таблица_аномальный_год_сценарий_м_41b08a"/>
      <w:r>
        <w:rPr>
          <w:rFonts w:eastAsia="georgia" w:cs="georgia" w:ascii="georgia" w:hAnsi="georgia"/>
          <w:b/>
          <w:color w:val="000000"/>
          <w:sz w:val="24"/>
        </w:rPr>
        <w:t xml:space="preserve">Таблица «аномальный год → сценарий → меры реагирования»</w:t>
      </w:r>
      <w:bookmarkEnd w:id="49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Ниже приведена укрупнённая матрица для планирования, ориентированная на северные территории с ММГ и увязанная с практикой аварий и методическими рекомендациями РСЧС.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Тип аномального года (в зоне ММГ)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Сценарий «климат → ММГ → ЧС»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Ключевые меры реагирования МЧС/РСЧС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Аномально тёплый год или серия тёплых лет (выше климатической нормы)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Ускоренное оттаивание ММГ, снижение несущей способности грунтов, просадка свай и фундаментов резервуаров, зданий, трубопроводов, риск разгерметизации и разливов топлива, как в случае аварии на ТЭЦ‑3 в Норильске в 2020 г.</w:t>
            </w:r>
            <w:hyperlink w:anchor="fn3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[3]</w:t>
              </w:r>
            </w:hyperlink>
            <w:hyperlink w:anchor="fn5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[5]</w:t>
              </w:r>
            </w:hyperlink>
            <w:hyperlink w:anchor="fn7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[7]</w:t>
              </w:r>
            </w:hyperlink>
            <w:hyperlink w:anchor="fn12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[12]</w:t>
              </w:r>
            </w:hyperlink>
            <w:hyperlink w:anchor="fn13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[13]</w:t>
              </w:r>
            </w:hyperlink>
            <w:hyperlink w:anchor="fn6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[6]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Превентивный геотехнический и гидрометеорологический мониторинг ММГ и деформаций сооружений; уточнение и введение в действие планов ликвидации разливов нефти и нефтепродуктов; развёртывание сил МЧС и специализированных формирований для локализации разливов, защиты водных объектов и населения в соответствии с методическими рекомендациями по планированию действий РСЧС.</w:t>
            </w:r>
            <w:hyperlink w:anchor="fn3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[3]</w:t>
              </w:r>
            </w:hyperlink>
            <w:hyperlink w:anchor="fn10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[10]</w:t>
              </w:r>
            </w:hyperlink>
            <w:hyperlink w:anchor="fn1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[11]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Аномально влажный год (избыточные осадки, подтопление, дождливое лето)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Повышение водонасыщения грунтов, активизация термокарста и береговой эрозии, деформации дорожного полотна, мостов и опор трубопроводов, рост риска обрушений и транспортных аварий на дорогах в криолитозоне.</w:t>
            </w:r>
            <w:hyperlink w:anchor="fn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[1]</w:t>
              </w:r>
            </w:hyperlink>
            <w:hyperlink w:anchor="fn2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[2]</w:t>
              </w:r>
            </w:hyperlink>
            <w:hyperlink w:anchor="fn8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[8]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Организация мониторинга деформаций дорог и опор (в т. ч. с использованием аэро‑ и лазерного сканирования), введение ограничений движения и временное закрытие опасных участков; подготовка сил для проведения аварийно‑спасательных и других неотложных работ при обрушениях и ДТП; включение соответствующих сценариев в территориальные планы ГО и ЧС.</w:t>
            </w:r>
            <w:hyperlink w:anchor="fn2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[2]</w:t>
              </w:r>
            </w:hyperlink>
            <w:hyperlink w:anchor="fn9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[9]</w:t>
              </w:r>
            </w:hyperlink>
            <w:hyperlink w:anchor="fn10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[10]</w:t>
              </w:r>
            </w:hyperlink>
            <w:hyperlink w:anchor="fn1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[11]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Тёплая зима и ранняя оттепель (аномально малый сезон промерзания)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Уменьшение глубины сезонного промерзания, ускоренная деградация верхней части ММГ, просадка оснований зданий ЖКХ и социальных объектов, рост числа аварий на коммунальных сетях (водопровод, канализация, теплосети) с локальными ЧС техногенного характера.</w:t>
            </w:r>
            <w:hyperlink w:anchor="fn3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[3]</w:t>
              </w:r>
            </w:hyperlink>
            <w:hyperlink w:anchor="fn4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[4]</w:t>
              </w:r>
            </w:hyperlink>
            <w:hyperlink w:anchor="fn8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[8]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Усиленный мониторинг деформаций зданий и сетей ЖКХ, приоритизация обследования школ, больниц и критической инфраструктуры; подготовка аварийно‑восстановительных бригад и резервов материальных ресурсов; актуализация паспортов безопасности объектов и планов взаимодействия с МЧС при выходе аварий за пределы объекта.</w:t>
            </w:r>
            <w:hyperlink w:anchor="fn4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[4]</w:t>
              </w:r>
            </w:hyperlink>
            <w:hyperlink w:anchor="fn10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[10]</w:t>
              </w:r>
            </w:hyperlink>
            <w:hyperlink w:anchor="fn1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[11]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Серия тёплых и влажных лет (накопительный эффект)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Кумулятивная деградация ММГ с ростом доли зданий и сооружений в предаварийном состоянии, высокая вероятность возникновения сразу нескольких ЧС (серия аварий на объектах здравоохранения, образования, транспорта) в течение одного аномального года.</w:t>
            </w:r>
            <w:hyperlink w:anchor="fn4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[4]</w:t>
              </w:r>
            </w:hyperlink>
            <w:hyperlink w:anchor="fn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[1]</w:t>
              </w:r>
            </w:hyperlink>
            <w:hyperlink w:anchor="fn8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[8]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Риск‑ориентированное территориальное планирование: составление перечня наиболее уязвимых объектов, поэтапное усиление оснований и реконструкция; подготовка к многоточечным ЧС (резервирование сил и средств, межрегиональное маневрирование ресурсов МЧС); проведение штабных тренировок по сложным природно‑техногенным сценариям с деградацией ММГ.</w:t>
            </w:r>
            <w:hyperlink w:anchor="fn9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[9]</w:t>
              </w:r>
            </w:hyperlink>
            <w:hyperlink w:anchor="fn4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[4]</w:t>
              </w:r>
            </w:hyperlink>
            <w:hyperlink w:anchor="fn10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[10]</w:t>
              </w:r>
            </w:hyperlink>
            <w:hyperlink w:anchor="fn1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[11]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Аномально холодный год с экстремальными морозами (контрпример цепочки)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Хрупкое разрушение материалов и труб при очень низких температурах, как при аварии газопровода Мессояха–Норильск в 1979 г., когда сильные морозы привели к разрушению труб на участке около 80 км; ЧС возникает без посредующего звена «деградация ММГ».</w:t>
            </w:r>
            <w:hyperlink w:anchor="fn14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[14]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Подготовка к ЧС, обусловленным экстремально низкими температурами: усиленный контроль за состоянием трубопроводов и энергообъектов, резервные источники теплоснабжения и топлива, разработка и отработка планов действий по защите населения и объектов при длительных сильных морозах; координация аварийно‑спасательных работ в рамках РСЧС.</w:t>
            </w:r>
            <w:hyperlink w:anchor="fn14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[14]</w:t>
              </w:r>
            </w:hyperlink>
            <w:hyperlink w:anchor="fn9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[9]</w:t>
              </w:r>
            </w:hyperlink>
            <w:hyperlink w:anchor="fn10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[10]</w:t>
              </w:r>
            </w:hyperlink>
            <w:hyperlink w:anchor="fn1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[11]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Быстрые переходы через ноль (частые оттепели и заморозки)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Циклическое промерзание–оттаивание в приповерхностном слое, формирование трещин и полостей в грунте, нарушение дренажа, локальные просадки опор ЛЭП, малых мостов, технологических эстакад с риском локальных ЧС и перерывов в электроснабжении и транспорте.</w:t>
            </w:r>
            <w:hyperlink w:anchor="fn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[1]</w:t>
              </w:r>
            </w:hyperlink>
            <w:hyperlink w:anchor="fn2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[2]</w:t>
              </w:r>
            </w:hyperlink>
            <w:hyperlink w:anchor="fn8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[8]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Включение таких сценариев в планы сезонной подготовки; регулярные инструментальные обследования опор и эстакад в период интенсивных переходов через ноль; готовность оперативных групп и подвижных ремонтно‑восстановительных бригад; использование данных мониторинга для раннего предупреждения и ввода режимов повышенной готовности.</w:t>
            </w:r>
            <w:hyperlink w:anchor="fn2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[2]</w:t>
              </w:r>
            </w:hyperlink>
            <w:hyperlink w:anchor="fn9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[9]</w:t>
              </w:r>
            </w:hyperlink>
            <w:hyperlink w:anchor="fn10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[10]</w:t>
              </w:r>
            </w:hyperlink>
            <w:hyperlink w:anchor="fn1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[11]</w:t>
              </w:r>
            </w:hyperlink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Эта таблица не претендует на исчерпывающий перечень сценариев, но задаёт методический каркас: для каждого типа аномального года в криолитозоне формулируется вероятный сценарий развития «климат → ММГ → инфраструктура → ЧС» и заранее планируются типовые меры реагирования сил МЧС и всей РСЧС, опирающиеся на действующие нормативные документы и уже имеющийся аварийный опыт.</w:t>
      </w:r>
      <w:bookmarkStart w:id="50" w:name="fnref6_4"/>
      <w:bookmarkEnd w:id="50"/>
      <w:hyperlink w:anchor="fn6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[6]</w:t>
        </w:r>
      </w:hyperlink>
      <w:bookmarkStart w:id="51" w:name="fnref8_6"/>
      <w:bookmarkEnd w:id="51"/>
      <w:hyperlink w:anchor="fn8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[8]</w:t>
        </w:r>
      </w:hyperlink>
      <w:bookmarkStart w:id="52" w:name="fnref1_6"/>
      <w:bookmarkEnd w:id="52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bookmarkStart w:id="53" w:name="fnref9_8"/>
      <w:bookmarkEnd w:id="53"/>
      <w:hyperlink w:anchor="fn9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[9]</w:t>
        </w:r>
      </w:hyperlink>
      <w:bookmarkStart w:id="54" w:name="fnref3_8"/>
      <w:bookmarkEnd w:id="54"/>
      <w:hyperlink w:anchor="fn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[3]</w:t>
        </w:r>
      </w:hyperlink>
      <w:bookmarkStart w:id="55" w:name="fnref4_6"/>
      <w:bookmarkEnd w:id="55"/>
      <w:hyperlink w:anchor="fn4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[4]</w:t>
        </w:r>
      </w:hyperlink>
      <w:bookmarkStart w:id="56" w:name="fnref10_10"/>
      <w:bookmarkEnd w:id="56"/>
      <w:hyperlink w:anchor="fn10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[10]</w:t>
        </w:r>
      </w:hyperlink>
      <w:bookmarkStart w:id="57" w:name="fnref11_10"/>
      <w:bookmarkEnd w:id="57"/>
      <w:hyperlink w:anchor="fn1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[11]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Если нужно, могу дополнить таблицу детализацией по уровням ЧС (муниципальный, региональный, федеральный) и разбить меры реагирования на стадии: профилактика, готовность, реагирование, восстановление.</w:t>
      </w:r>
      <w:r>
        <w:rPr>
          <w:rFonts w:eastAsia="georgia" w:cs="georgia" w:ascii="georgia" w:hAnsi="georgia"/>
          <w:color w:val="000000"/>
        </w:rPr>
        <w:br w:type="textWrapping"/>
      </w:r>
    </w:p>
    <w:p>
      <w:pPr>
        <w:spacing w:line="360" w:lineRule="auto"/>
      </w:pPr>
      <w:r>
        <w:rPr>
          <w:rFonts w:eastAsia="georgia" w:cs="georgia" w:ascii="georgia" w:hAnsi="georgia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58" w:name="fn1"/>
    <w:bookmarkEnd w:id="58"/>
    <w:p>
      <w:pPr>
        <w:numPr>
          <w:ilvl w:val="0"/>
          <w:numId w:val="2"/>
        </w:numPr>
        <w:spacing w:line="360" w:after="210" w:lineRule="auto"/>
      </w:pPr>
      <w:hyperlink r:id="rId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https://cyberleninka.ru/article/n/opasnye-prirodnye-protsessy-globalnaya-ugroza-sovremennosti/pdf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59" w:name="fn2"/>
    <w:bookmarkEnd w:id="59"/>
    <w:p>
      <w:pPr>
        <w:numPr>
          <w:ilvl w:val="0"/>
          <w:numId w:val="2"/>
        </w:numPr>
        <w:spacing w:line="360" w:after="210" w:lineRule="auto"/>
      </w:pPr>
      <w:hyperlink r:id="rId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https://news.tsu.ru/news/uchyenye-tgu-otsenyat-vliyanie-degradatsii-mnogoletney-merzloty-na-avtodorogi-severa/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60" w:name="fn3"/>
    <w:bookmarkEnd w:id="60"/>
    <w:p>
      <w:pPr>
        <w:numPr>
          <w:ilvl w:val="0"/>
          <w:numId w:val="2"/>
        </w:numPr>
        <w:spacing w:line="360" w:after="210" w:lineRule="auto"/>
      </w:pPr>
      <w:hyperlink r:id="rId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https://ru.thebarentsobserver.com/vecnaa-merzlota-pokryvaet-bolee-60-procentov-territorii-rossii-i-ona-taet/208569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61" w:name="fn4"/>
    <w:bookmarkEnd w:id="61"/>
    <w:p>
      <w:pPr>
        <w:numPr>
          <w:ilvl w:val="0"/>
          <w:numId w:val="2"/>
        </w:numPr>
        <w:spacing w:line="360" w:after="210" w:lineRule="auto"/>
      </w:pPr>
      <w:hyperlink r:id="rId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https://federalizm.rea.ru/jour/article/view/318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62" w:name="fn5"/>
    <w:bookmarkEnd w:id="62"/>
    <w:p>
      <w:pPr>
        <w:numPr>
          <w:ilvl w:val="0"/>
          <w:numId w:val="2"/>
        </w:numPr>
        <w:spacing w:line="360" w:after="210" w:lineRule="auto"/>
      </w:pPr>
      <w:hyperlink r:id="rId1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https://www.eastrussia.ru/material/i-vse-taki-ona-ne-vechnaya/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63" w:name="fn6"/>
    <w:bookmarkEnd w:id="63"/>
    <w:p>
      <w:pPr>
        <w:numPr>
          <w:ilvl w:val="0"/>
          <w:numId w:val="2"/>
        </w:numPr>
        <w:spacing w:line="360" w:after="210" w:lineRule="auto"/>
      </w:pPr>
      <w:hyperlink r:id="rId1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https://66.mchs.gov.ru/glavnoe-upravlenie/2020-30-letie-mchs-rossii/30-let-mchs-rossii/4316352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64" w:name="fn7"/>
    <w:bookmarkEnd w:id="64"/>
    <w:p>
      <w:pPr>
        <w:numPr>
          <w:ilvl w:val="0"/>
          <w:numId w:val="2"/>
        </w:numPr>
        <w:spacing w:line="360" w:after="210" w:lineRule="auto"/>
      </w:pPr>
      <w:hyperlink r:id="rId1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https://ru.wikipedia.org/wiki/Разлив_дизельного_топлива_в_Норильске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65" w:name="fn8"/>
    <w:bookmarkEnd w:id="65"/>
    <w:p>
      <w:pPr>
        <w:numPr>
          <w:ilvl w:val="0"/>
          <w:numId w:val="2"/>
        </w:numPr>
        <w:spacing w:line="360" w:after="210" w:lineRule="auto"/>
      </w:pPr>
      <w:hyperlink r:id="rId1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https://nprom.online/technology/neftegazovaya-infrastruktura-na-mnogoletne-myorzlyh-gruntah-riski-i-resheniya/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66" w:name="fn9"/>
    <w:bookmarkEnd w:id="66"/>
    <w:p>
      <w:pPr>
        <w:numPr>
          <w:ilvl w:val="0"/>
          <w:numId w:val="2"/>
        </w:numPr>
        <w:spacing w:line="360" w:after="210" w:lineRule="auto"/>
      </w:pPr>
      <w:hyperlink r:id="rId1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https://mchs.gov.ru/uploads/document/2025-03-24/c0c45d04b913d0f5f50c96df484ef99b.pdf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67" w:name="fn10"/>
    <w:bookmarkEnd w:id="67"/>
    <w:p>
      <w:pPr>
        <w:numPr>
          <w:ilvl w:val="0"/>
          <w:numId w:val="2"/>
        </w:numPr>
        <w:spacing w:line="360" w:after="210" w:lineRule="auto"/>
      </w:pPr>
      <w:hyperlink r:id="rId1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https://admverx.gosuslugi.ru/netcat_files/userfiles/Informatsiya_ChS_GO/4.pdf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68" w:name="fn11"/>
    <w:bookmarkEnd w:id="68"/>
    <w:p>
      <w:pPr>
        <w:numPr>
          <w:ilvl w:val="0"/>
          <w:numId w:val="2"/>
        </w:numPr>
        <w:spacing w:line="360" w:after="210" w:lineRule="auto"/>
      </w:pPr>
      <w:hyperlink r:id="rId1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https://docs.cntd.ru/document/350129661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69" w:name="fn12"/>
    <w:bookmarkEnd w:id="69"/>
    <w:p>
      <w:pPr>
        <w:numPr>
          <w:ilvl w:val="0"/>
          <w:numId w:val="2"/>
        </w:numPr>
        <w:spacing w:line="360" w:after="210" w:lineRule="auto"/>
      </w:pPr>
      <w:hyperlink r:id="rId1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https://www.kommersant.ru/doc/4399833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70" w:name="fn13"/>
    <w:bookmarkEnd w:id="70"/>
    <w:p>
      <w:pPr>
        <w:numPr>
          <w:ilvl w:val="0"/>
          <w:numId w:val="2"/>
        </w:numPr>
        <w:spacing w:line="360" w:after="210" w:lineRule="auto"/>
      </w:pPr>
      <w:hyperlink r:id="rId1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https://nornickel.ru/sustainability/projects/cleanup/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71" w:name="fn14"/>
    <w:bookmarkEnd w:id="71"/>
    <w:p>
      <w:pPr>
        <w:numPr>
          <w:ilvl w:val="0"/>
          <w:numId w:val="2"/>
        </w:numPr>
        <w:spacing w:line="360" w:after="210" w:lineRule="auto"/>
      </w:pPr>
      <w:hyperlink r:id="rId1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https://www.ttelegraf.ru/news/odnu-iz-samyh-sereznyh-avarij-v-svoej-istorii-norilsk-perezhil-v-1979-m/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72" w:name="fn15"/>
    <w:bookmarkEnd w:id="72"/>
    <w:p>
      <w:pPr>
        <w:numPr>
          <w:ilvl w:val="0"/>
          <w:numId w:val="2"/>
        </w:numPr>
        <w:spacing w:line="360" w:after="210" w:lineRule="auto"/>
      </w:pPr>
      <w:hyperlink r:id="rId2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https://t-s.today/en/03SATS224.html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73" w:name="fn16"/>
    <w:bookmarkEnd w:id="73"/>
    <w:p>
      <w:pPr>
        <w:numPr>
          <w:ilvl w:val="0"/>
          <w:numId w:val="2"/>
        </w:numPr>
        <w:spacing w:line="360" w:after="210" w:lineRule="auto"/>
      </w:pPr>
      <w:hyperlink r:id="rId2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https://www.risk-journal.com/jour/article/download/261/235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74" w:name="fn17"/>
    <w:bookmarkEnd w:id="74"/>
    <w:p>
      <w:pPr>
        <w:numPr>
          <w:ilvl w:val="0"/>
          <w:numId w:val="2"/>
        </w:numPr>
        <w:spacing w:line="360" w:after="210" w:lineRule="auto"/>
      </w:pPr>
      <w:hyperlink r:id="rId2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https://mchs.rk.gov.ru/file/Informatsiya_dlya_rukovoditeley_i_doljnostnih_lits_GO_i_TSCHS_dok2.pdf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75" w:name="fn18"/>
    <w:bookmarkEnd w:id="75"/>
    <w:p>
      <w:pPr>
        <w:numPr>
          <w:ilvl w:val="0"/>
          <w:numId w:val="2"/>
        </w:numPr>
        <w:spacing w:line="360" w:after="210" w:lineRule="auto"/>
      </w:pPr>
      <w:hyperlink r:id="rId2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https://fcmk.minzdrav.gov.ru/wp-content/uploads/2025/08/teoriya_i_praktika_zashhity_naseleniya_i_territorij_ot_chrezvychajnyh.pdf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213b51538dd5d0c3d50804f3200871f86b940060.png" TargetMode="Internal"/><Relationship Id="rId6" Type="http://schemas.openxmlformats.org/officeDocument/2006/relationships/hyperlink" Target="https://cyberleninka.ru/article/n/opasnye-prirodnye-protsessy-globalnaya-ugroza-sovremennosti/pdf" TargetMode="External"/><Relationship Id="rId7" Type="http://schemas.openxmlformats.org/officeDocument/2006/relationships/hyperlink" Target="https://news.tsu.ru/news/uchyenye-tgu-otsenyat-vliyanie-degradatsii-mnogoletney-merzloty-na-avtodorogi-severa/" TargetMode="External"/><Relationship Id="rId8" Type="http://schemas.openxmlformats.org/officeDocument/2006/relationships/hyperlink" Target="https://ru.thebarentsobserver.com/vecnaa-merzlota-pokryvaet-bolee-60-procentov-territorii-rossii-i-ona-taet/208569" TargetMode="External"/><Relationship Id="rId9" Type="http://schemas.openxmlformats.org/officeDocument/2006/relationships/hyperlink" Target="https://federalizm.rea.ru/jour/article/view/318" TargetMode="External"/><Relationship Id="rId10" Type="http://schemas.openxmlformats.org/officeDocument/2006/relationships/hyperlink" Target="https://www.eastrussia.ru/material/i-vse-taki-ona-ne-vechnaya/" TargetMode="External"/><Relationship Id="rId11" Type="http://schemas.openxmlformats.org/officeDocument/2006/relationships/hyperlink" Target="https://66.mchs.gov.ru/glavnoe-upravlenie/2020-30-letie-mchs-rossii/30-let-mchs-rossii/4316352" TargetMode="External"/><Relationship Id="rId12" Type="http://schemas.openxmlformats.org/officeDocument/2006/relationships/hyperlink" Target="https://ru.wikipedia.org/wiki/%D0%A0%D0%B0%D0%B7%D0%BB%D0%B8%D0%B2_%D0%B4%D0%B8%D0%B7%D0%B5%D0%BB%D1%8C%D0%BD%D0%BE%D0%B3%D0%BE_%D1%82%D0%BE%D0%BF%D0%BB%D0%B8%D0%B2%D0%B0_%D0%B2_%D0%9D%D0%BE%D1%80%D0%B8%D0%BB%D1%8C%D1%81%D0%BA%D0%B5" TargetMode="External"/><Relationship Id="rId13" Type="http://schemas.openxmlformats.org/officeDocument/2006/relationships/hyperlink" Target="https://nprom.online/technology/neftegazovaya-infrastruktura-na-mnogoletne-myorzlyh-gruntah-riski-i-resheniya/" TargetMode="External"/><Relationship Id="rId14" Type="http://schemas.openxmlformats.org/officeDocument/2006/relationships/hyperlink" Target="https://mchs.gov.ru/uploads/document/2025-03-24/c0c45d04b913d0f5f50c96df484ef99b.pdf" TargetMode="External"/><Relationship Id="rId15" Type="http://schemas.openxmlformats.org/officeDocument/2006/relationships/hyperlink" Target="https://admverx.gosuslugi.ru/netcat_files/userfiles/Informatsiya_ChS_GO/4.pdf" TargetMode="External"/><Relationship Id="rId16" Type="http://schemas.openxmlformats.org/officeDocument/2006/relationships/hyperlink" Target="https://docs.cntd.ru/document/350129661" TargetMode="External"/><Relationship Id="rId17" Type="http://schemas.openxmlformats.org/officeDocument/2006/relationships/hyperlink" Target="https://www.kommersant.ru/doc/4399833" TargetMode="External"/><Relationship Id="rId18" Type="http://schemas.openxmlformats.org/officeDocument/2006/relationships/hyperlink" Target="https://nornickel.ru/sustainability/projects/cleanup/" TargetMode="External"/><Relationship Id="rId19" Type="http://schemas.openxmlformats.org/officeDocument/2006/relationships/hyperlink" Target="https://www.ttelegraf.ru/news/odnu-iz-samyh-sereznyh-avarij-v-svoej-istorii-norilsk-perezhil-v-1979-m/" TargetMode="External"/><Relationship Id="rId20" Type="http://schemas.openxmlformats.org/officeDocument/2006/relationships/hyperlink" Target="https://t-s.today/en/03SATS224.html" TargetMode="External"/><Relationship Id="rId21" Type="http://schemas.openxmlformats.org/officeDocument/2006/relationships/hyperlink" Target="https://www.risk-journal.com/jour/article/download/261/235" TargetMode="External"/><Relationship Id="rId22" Type="http://schemas.openxmlformats.org/officeDocument/2006/relationships/hyperlink" Target="https://mchs.rk.gov.ru/file/Informatsiya_dlya_rukovoditeley_i_doljnostnih_lits_GO_i_TSCHS_dok2.pdf" TargetMode="External"/><Relationship Id="rId23" Type="http://schemas.openxmlformats.org/officeDocument/2006/relationships/hyperlink" Target="https://fcmk.minzdrav.gov.ru/wp-content/uploads/2025/08/teoriya_i_praktika_zashhity_naseleniya_i_territorij_ot_chrezvychajnyh.pdf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2026-05-19T11:54:34.210Z</dcterms:created>
  <dcterms:modified xsi:type="dcterms:W3CDTF">2026-05-19T11:54:34.210Z</dcterms:modified>
</cp:coreProperties>
</file>