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f63265b223ffc2682266bf377d9d6c29b8413ff.png"/>
            <a:graphic>
              <a:graphicData uri="http://schemas.openxmlformats.org/drawingml/2006/picture">
                <pic:pic>
                  <pic:nvPicPr>
                    <pic:cNvPr id="1" name="image-6f63265b223ffc2682266bf377d9d6c29b8413f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на_следующем_шаге_эти_требования_e95176"/>
      <w:r>
        <w:rPr>
          <w:rFonts w:eastAsia="georgia" w:cs="georgia" w:ascii="georgia" w:hAnsi="georgia"/>
          <w:b/>
          <w:color w:val="000000"/>
          <w:sz w:val="39"/>
        </w:rPr>
        <w:t xml:space="preserve">На следующем шаге эти требования НУЖНО(!) разнести по разделам будущего ТЗ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— как именно разнести 9 требований по классическим разделам ТЗ. Формулировки уже приведены в «языке ТЗ», их можно практически копировать.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раздел_назначение_и_область_9b0752"/>
      <w:r>
        <w:rPr>
          <w:rFonts w:eastAsia="georgia" w:cs="georgia" w:ascii="georgia" w:hAnsi="georgia"/>
          <w:b/>
          <w:color w:val="000000"/>
          <w:sz w:val="24"/>
        </w:rPr>
        <w:t xml:space="preserve">1. Раздел «Назначение и область применения»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Сюда попадает </w:t>
      </w:r>
      <w:r>
        <w:rPr>
          <w:rFonts w:eastAsia="georgia" w:cs="georgia" w:ascii="georgia" w:hAnsi="georgia"/>
          <w:b/>
          <w:color w:val="000000"/>
        </w:rPr>
        <w:t xml:space="preserve">общий смысл</w:t>
      </w:r>
      <w:r>
        <w:rPr>
          <w:rFonts w:eastAsia="georgia" w:cs="georgia" w:ascii="georgia" w:hAnsi="georgia"/>
          <w:color w:val="000000"/>
        </w:rPr>
        <w:t xml:space="preserve"> требований 2–9 (без деталей):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Указать, что система предназначена для </w:t>
      </w:r>
      <w:r>
        <w:rPr>
          <w:rFonts w:eastAsia="georgia" w:cs="georgia" w:ascii="georgia" w:hAnsi="georgia"/>
          <w:b/>
          <w:color w:val="000000"/>
          <w:sz w:val="21"/>
        </w:rPr>
        <w:t xml:space="preserve">интегрированного мониторинга климатических, геокриологических, гидрологических и инфраструктурных факторов</w:t>
      </w:r>
      <w:r>
        <w:rPr>
          <w:rFonts w:eastAsia="georgia" w:cs="georgia" w:ascii="georgia" w:hAnsi="georgia"/>
          <w:color w:val="000000"/>
          <w:sz w:val="21"/>
        </w:rPr>
        <w:t xml:space="preserve">, влияющих на риски ЧС в зоне ММГ.</w:t>
      </w:r>
      <w:bookmarkStart w:id="2" w:name="fnref1"/>
      <w:bookmarkEnd w:id="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Отдельно прописать, что система предназначена для </w:t>
      </w:r>
      <w:r>
        <w:rPr>
          <w:rFonts w:eastAsia="georgia" w:cs="georgia" w:ascii="georgia" w:hAnsi="georgia"/>
          <w:b/>
          <w:color w:val="000000"/>
          <w:sz w:val="21"/>
        </w:rPr>
        <w:t xml:space="preserve">поддержки риск‑ориентированного планирования сил и средств МЧС и подсистем РСЧС</w:t>
      </w:r>
      <w:r>
        <w:rPr>
          <w:rFonts w:eastAsia="georgia" w:cs="georgia" w:ascii="georgia" w:hAnsi="georgia"/>
          <w:color w:val="000000"/>
          <w:sz w:val="21"/>
        </w:rPr>
        <w:t xml:space="preserve"> с целью минимизации ущерба и жертв при ЧС, связанных с деградацией ММГ.</w:t>
      </w:r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(Это «зонтик», пока без детализации функций.)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2_раздел_требования_к_входным_9dc531"/>
      <w:r>
        <w:rPr>
          <w:rFonts w:eastAsia="georgia" w:cs="georgia" w:ascii="georgia" w:hAnsi="georgia"/>
          <w:b/>
          <w:color w:val="000000"/>
          <w:sz w:val="24"/>
        </w:rPr>
        <w:t xml:space="preserve">2. Раздел «Требования к входным данным и информационному обеспечению»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Здесь раскладываем </w:t>
      </w:r>
      <w:r>
        <w:rPr>
          <w:rFonts w:eastAsia="georgia" w:cs="georgia" w:ascii="georgia" w:hAnsi="georgia"/>
          <w:b/>
          <w:color w:val="000000"/>
        </w:rPr>
        <w:t xml:space="preserve">требование 1</w:t>
      </w:r>
      <w:r>
        <w:rPr>
          <w:rFonts w:eastAsia="georgia" w:cs="georgia" w:ascii="georgia" w:hAnsi="georgia"/>
          <w:color w:val="000000"/>
        </w:rPr>
        <w:t xml:space="preserve"> и часть 9.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1.1. </w:t>
      </w:r>
      <w:r>
        <w:rPr>
          <w:rFonts w:eastAsia="georgia" w:cs="georgia" w:ascii="georgia" w:hAnsi="georgia"/>
          <w:b/>
          <w:color w:val="000000"/>
        </w:rPr>
        <w:t xml:space="preserve">Перечень входных данных (из требования 1):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Климатические данные: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«Система должна обеспечивать приём, хранение и обработку многолетних рядов метеонаблюдений (Tmin/Tmean/Tmax, осадки, характеристики снежного покрова, индексы TDD/FDD и др.) по сетям наблюдений, используемым в регионе.»</w:t>
      </w:r>
      <w:bookmarkStart w:id="7" w:name="fnref2_1"/>
      <w:bookmarkEnd w:id="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8" w:name="fnref5"/>
      <w:bookmarkEnd w:id="8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Геокриологические данные: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«Система должна обеспечивать приём и обработку данных о состоянии ММГ (температура грунта на разных глубинах, ALT по CALM‑площадкам, другие показатели в доступных форматах).»</w:t>
      </w:r>
      <w:bookmarkStart w:id="9" w:name="fnref6"/>
      <w:bookmarkEnd w:id="9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0" w:name="fnref2_2"/>
      <w:bookmarkEnd w:id="1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Гидрологические данные: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«Система должна обеспечивать приём и обработку данных уровней воды и паводковых характеристик на гидропостах, релевантных зонам ММГ.»</w:t>
      </w:r>
      <w:bookmarkStart w:id="11" w:name="fnref5_1"/>
      <w:bookmarkEnd w:id="11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2" w:name="fnref1_1"/>
      <w:bookmarkEnd w:id="1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Инфраструктурные данные: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«Система должна учитывать сведения об объектах инфраструктуры (тип, местоположение, конструктивные особенности, возраст, принадлежность к критической инфраструктуре).»</w:t>
      </w:r>
      <w:bookmarkStart w:id="13" w:name="fnref7"/>
      <w:bookmarkEnd w:id="13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4" w:name="fnref8"/>
      <w:bookmarkEnd w:id="14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Данные о ЧС: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«Система должна обеспечивать приём и учёт данных о ЧС (тип, время, локализация, масштаб, ущерб, задействованные силы и средства) в форме, согласованной с действующими формами учёта МЧС.»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1.2. </w:t>
      </w:r>
      <w:r>
        <w:rPr>
          <w:rFonts w:eastAsia="georgia" w:cs="georgia" w:ascii="georgia" w:hAnsi="georgia"/>
          <w:b/>
          <w:color w:val="000000"/>
        </w:rPr>
        <w:t xml:space="preserve">Интеграция с внешними системами (из требования 9):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«Система должна иметь средства интеграции (API/обмен файлами) с существующими системами мониторинга климата, ММГ и инфраструктуры, а также с ведомственными информационными системами, во избежание дублирования ввода данных.»</w:t>
      </w:r>
      <w:bookmarkStart w:id="15" w:name="fnref9"/>
      <w:bookmarkEnd w:id="15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6" w:name="fnref10"/>
      <w:bookmarkEnd w:id="16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17" w:name="fnref11"/>
      <w:bookmarkEnd w:id="17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3_раздел_функциональные_требования"/>
      <w:r>
        <w:rPr>
          <w:rFonts w:eastAsia="georgia" w:cs="georgia" w:ascii="georgia" w:hAnsi="georgia"/>
          <w:b/>
          <w:color w:val="000000"/>
          <w:sz w:val="24"/>
        </w:rPr>
        <w:t xml:space="preserve">3. Раздел «Функциональные требования»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Сюда ложится основная «мясная» часть: требования 2–7 и частично 8.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3.1. </w:t>
      </w:r>
      <w:r>
        <w:rPr>
          <w:rFonts w:eastAsia="georgia" w:cs="georgia" w:ascii="georgia" w:hAnsi="georgia"/>
          <w:b/>
          <w:color w:val="000000"/>
        </w:rPr>
        <w:t xml:space="preserve">Расчёт индикаторов и аномалий (требование 2):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«Система должна обеспечивать вычисление суточных, месячных и годовых индикаторов состояния климата, ММГ и гидрологии (TDD/FDD, экстремальные температуры и осадки, характеристики снежного покрова, MAGST, TTOP, ALT, паводковые пики и др.) с использованием подтверждённых методик.»</w:t>
      </w:r>
      <w:bookmarkStart w:id="19" w:name="fnref2_3"/>
      <w:bookmarkEnd w:id="19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0" w:name="fnref5_2"/>
      <w:bookmarkEnd w:id="20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«Система должна автоматически выявлять аномальные значения указанных индикаторов по заданным правилам (z‑оценки, процентильные пороги, скользящие окна), с присвоением категорий тяжести и баллов риска (risk points).»</w:t>
      </w:r>
      <w:bookmarkStart w:id="21" w:name="fnref12"/>
      <w:bookmarkEnd w:id="21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22" w:name="fnref2_4"/>
      <w:bookmarkEnd w:id="2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3.2. </w:t>
      </w:r>
      <w:r>
        <w:rPr>
          <w:rFonts w:eastAsia="georgia" w:cs="georgia" w:ascii="georgia" w:hAnsi="georgia"/>
          <w:b/>
          <w:color w:val="000000"/>
        </w:rPr>
        <w:t xml:space="preserve">Связка «аномалии → ЧС» (требование 3):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«Система должна обеспечивать алгоритмы установления связей между выявленными аномалиями и зарегистрированными ЧС в заданных временных окнах (например, 0–30 суток до/после события), с расчётом временных лагов, характеристик совпадений и агрегированных показателей риска.»</w:t>
      </w:r>
      <w:bookmarkStart w:id="23" w:name="fnref13"/>
      <w:bookmarkEnd w:id="23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24" w:name="fnref1_2"/>
      <w:bookmarkEnd w:id="2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5" w:name="fnref3_1"/>
      <w:bookmarkEnd w:id="2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6" w:name="fnref7_1"/>
      <w:bookmarkEnd w:id="26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3.3. </w:t>
      </w:r>
      <w:r>
        <w:rPr>
          <w:rFonts w:eastAsia="georgia" w:cs="georgia" w:ascii="georgia" w:hAnsi="georgia"/>
          <w:b/>
          <w:color w:val="000000"/>
        </w:rPr>
        <w:t xml:space="preserve">Пространственно‑временной анализ и сценарии «аномальных лет» (требование 4):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«Система должна поддерживать выделение “аномальных” годов и сезонов для регионов/муниципальных образований на основе совокупности индикаторов климата, ММГ, гидрологии и статистики ЧС, с классификацией по типам (аномально тёплые, тёплые и влажные, аномально холодные и т. д.).»</w:t>
      </w:r>
      <w:bookmarkStart w:id="27" w:name="fnref14"/>
      <w:bookmarkEnd w:id="27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28" w:name="fnref1_3"/>
      <w:bookmarkEnd w:id="2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9" w:name="fnref2_5"/>
      <w:bookmarkEnd w:id="29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3.4. </w:t>
      </w:r>
      <w:r>
        <w:rPr>
          <w:rFonts w:eastAsia="georgia" w:cs="georgia" w:ascii="georgia" w:hAnsi="georgia"/>
          <w:b/>
          <w:color w:val="000000"/>
        </w:rPr>
        <w:t xml:space="preserve">Индексы риска для инфраструктуры (требование 5):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«Система должна формировать интегральные индексы риска для территорий и объектов инфраструктуры, учитывающие: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– состояние ММГ и тенденции её деградации;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– частоту и тяжесть климатических аномалий;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– тип и уязвимость объектов;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– фактическую историю ЧС.»</w:t>
      </w:r>
      <w:bookmarkStart w:id="30" w:name="fnref8_1"/>
      <w:bookmarkEnd w:id="30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31" w:name="fnref3_2"/>
      <w:bookmarkEnd w:id="31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2" w:name="fnref7_2"/>
      <w:bookmarkEnd w:id="32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3.5. </w:t>
      </w:r>
      <w:r>
        <w:rPr>
          <w:rFonts w:eastAsia="georgia" w:cs="georgia" w:ascii="georgia" w:hAnsi="georgia"/>
          <w:b/>
          <w:color w:val="000000"/>
        </w:rPr>
        <w:t xml:space="preserve">Адаптация выходов к ГО и ЧС (требование 6):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«Система должна трансформировать результаты анализа в формы, совместимые с планированием в системе ГО и ЧС, в том числе: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– ориентировочные уровни возможных ЧС (муниципальный, региональный, федеральный) для сценариев “аномальных лет”;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– рекомендуемые режимы функционирования РСЧС (повседневная деятельность, повышенная готовность, ЧС);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– матрицы мероприятий по стадиям: профилактика, готовность, реагирование, восстановление.»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3.6. </w:t>
      </w:r>
      <w:r>
        <w:rPr>
          <w:rFonts w:eastAsia="georgia" w:cs="georgia" w:ascii="georgia" w:hAnsi="georgia"/>
          <w:b/>
          <w:color w:val="000000"/>
        </w:rPr>
        <w:t xml:space="preserve">Поддержка оперативного планирования (требование 7):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«Система должна работать в режиме регулярного обновления (не реже 1 раза в сутки для оперативных данных) и обеспечивать дежурно‑диспетчерским службам доступ к текущим климатическим и геокриологическим аномалиям, оценке их влияния на инфраструктуру и вероятности ЧС, а также к сформированным рекомендациям по уровням готовности и распределению сил и средств.»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3.7. </w:t>
      </w:r>
      <w:r>
        <w:rPr>
          <w:rFonts w:eastAsia="georgia" w:cs="georgia" w:ascii="georgia" w:hAnsi="georgia"/>
          <w:b/>
          <w:color w:val="000000"/>
        </w:rPr>
        <w:t xml:space="preserve">Сценарный анализ и оценка эффектов адаптации (функциональная часть требования 8):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«Система должна предоставлять средства сценарного анализа, позволяющие оценивать влияние различных климатических сценариев и мер адаптации (усиление оснований, модернизация объектов и т. п.) на изменение индексов риска и ожидаемого ущерба, для поддержки стратегического планирования и программ адаптации.»</w:t>
      </w:r>
      <w:bookmarkStart w:id="33" w:name="fnref4_1"/>
      <w:bookmarkEnd w:id="33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34" w:name="fnref3_3"/>
      <w:bookmarkEnd w:id="3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5" w:name="fnref12_1"/>
      <w:bookmarkEnd w:id="35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bm_4_раздел_требования_к_выходной_6072f5"/>
      <w:r>
        <w:rPr>
          <w:rFonts w:eastAsia="georgia" w:cs="georgia" w:ascii="georgia" w:hAnsi="georgia"/>
          <w:b/>
          <w:color w:val="000000"/>
          <w:sz w:val="24"/>
        </w:rPr>
        <w:t xml:space="preserve">4. Раздел «Требования к выходной информации и отчётности»</w:t>
      </w:r>
      <w:bookmarkEnd w:id="3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Сюда выносим формализованный остаток требований 6, 7 и 8.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4.1. </w:t>
      </w:r>
      <w:r>
        <w:rPr>
          <w:rFonts w:eastAsia="georgia" w:cs="georgia" w:ascii="georgia" w:hAnsi="georgia"/>
          <w:b/>
          <w:color w:val="000000"/>
        </w:rPr>
        <w:t xml:space="preserve">Отчётные формы для планирования ГО и ЧС: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«Система должна формировать отчётные формы по: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– сценариям “аномальных лет/сезонов” для заданных территорий;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– оценкам уровней возможных ЧС и рекомендуемых режимов функционирования РСЧС;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– перечню рекомендуемых мероприятий по стадиям (профилактика, готовность, реагирование, восстановление);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– распределению индексов риска по объектам инфраструктуры.»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4.2. </w:t>
      </w:r>
      <w:r>
        <w:rPr>
          <w:rFonts w:eastAsia="georgia" w:cs="georgia" w:ascii="georgia" w:hAnsi="georgia"/>
          <w:b/>
          <w:color w:val="000000"/>
        </w:rPr>
        <w:t xml:space="preserve">Форматы экспорта: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«Система должна поддерживать экспорт отчётных форм в форматы, используемые в МЧС и органах ГО и ЧС (как минимум: XLSX/CSV для таблиц, PDF/HTML для докладных записок и приложений к планам).»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4.3. </w:t>
      </w:r>
      <w:r>
        <w:rPr>
          <w:rFonts w:eastAsia="georgia" w:cs="georgia" w:ascii="georgia" w:hAnsi="georgia"/>
          <w:b/>
          <w:color w:val="000000"/>
        </w:rPr>
        <w:t xml:space="preserve">Средства визуализации: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«Система должна обеспечивать интерактивную визуализацию пространственного распределения аномалий и индексов риска (карты, графики, диаграммы) с возможностью фильтрации по территории, типу объекта, временному интервалу и сценарию.»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bm_5_раздел_требования_к_архитект_4015e4"/>
      <w:r>
        <w:rPr>
          <w:rFonts w:eastAsia="georgia" w:cs="georgia" w:ascii="georgia" w:hAnsi="georgia"/>
          <w:b/>
          <w:color w:val="000000"/>
          <w:sz w:val="24"/>
        </w:rPr>
        <w:t xml:space="preserve">5. Раздел «Требования к архитектуре, интеграции и технической реализации»</w:t>
      </w:r>
      <w:bookmarkEnd w:id="3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Здесь концентрируем остальную часть требования 9 и технические аспекты из обзора.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«Архитектура системы должна обеспечивать модульность: отдельные модули приема данных, расчёта индикаторов, анализа связей “аномалии → ЧС”, формирования индексов риска, визуализации и формирования отчётности.»</w:t>
      </w:r>
      <w:bookmarkStart w:id="38" w:name="fnref10_1"/>
      <w:bookmarkEnd w:id="38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39" w:name="fnref9_1"/>
      <w:bookmarkEnd w:id="39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«Система должна иметь открытые программные интерфейсы (API) и/или стандартизованные форматы обмена, обеспечивающие интеграцию с внешними источниками данных и ведомственными системами.»</w:t>
      </w:r>
      <w:bookmarkStart w:id="40" w:name="fnref11_1"/>
      <w:bookmarkEnd w:id="40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41" w:name="fnref9_2"/>
      <w:bookmarkEnd w:id="41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«При проектировании необходимо предусмотреть возможность масштабирования на новые регионы, расширения перечня учитываемых индикаторов и типов объектов без изменения базовой архитектуры.»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(Тут можно будет дополнительно добавить требования к производительности, отказоустойчивости, безопасности — уже по вашим внутренним нормам.)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bm_6_раздел_требования_к_составу_8b9933"/>
      <w:r>
        <w:rPr>
          <w:rFonts w:eastAsia="georgia" w:cs="georgia" w:ascii="georgia" w:hAnsi="georgia"/>
          <w:b/>
          <w:color w:val="000000"/>
          <w:sz w:val="24"/>
        </w:rPr>
        <w:t xml:space="preserve">6. Раздел «Требования к составу и содержанию работ»</w:t>
      </w:r>
      <w:bookmarkEnd w:id="4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Сюда переносим сценарную часть требования 8 и логически связываем с этапами НИР/ОКР: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«На этапах НИР/ОКР должны быть выполнены работы по: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– адаптации известных методик расчёта индикаторов и аномалий (климат, ММГ, гидрология) к целям системы;</w:t>
      </w:r>
      <w:bookmarkStart w:id="43" w:name="fnref5_3"/>
      <w:bookmarkEnd w:id="43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44" w:name="fnref2_6"/>
      <w:bookmarkEnd w:id="4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– разработке и валидации алгоритмов связки “аномалии → ЧС” на пилотных регионах;</w:t>
      </w:r>
      <w:bookmarkStart w:id="45" w:name="fnref1_4"/>
      <w:bookmarkEnd w:id="4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46" w:name="fnref3_4"/>
      <w:bookmarkEnd w:id="4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47" w:name="fnref13_1"/>
      <w:bookmarkEnd w:id="47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– формализации сценариев “аномальных лет/сезонов” и матриц мероприятий для планирования ГО и ЧС;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– разработке пользовательских отчётных форм и интеграции с существующими управленческими процедурами МЧС.»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8" w:name="bm_7_раздел_порядок_контроля_и_приёмки"/>
      <w:r>
        <w:rPr>
          <w:rFonts w:eastAsia="georgia" w:cs="georgia" w:ascii="georgia" w:hAnsi="georgia"/>
          <w:b/>
          <w:color w:val="000000"/>
          <w:sz w:val="24"/>
        </w:rPr>
        <w:t xml:space="preserve">7. Раздел «Порядок контроля и приёмки»</w:t>
      </w:r>
      <w:bookmarkEnd w:id="4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Здесь закрепляются критерии того, что система действительно реализует выводы обзора: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Подтверждение, что на пилотных данных система корректно выделяет аномалии и реконструирует связи «аномалии → ЧС» (с проверкой на известных событиях).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Подтверждение, что отчётные формы и сценарные рекомендации признаны пригодными для включения в планы ГО и ЧС (заключения профильных подразделений).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хотите, следующим шагом могу из этой структуры собрать цельный текст разделов 2–4 ТЗ (уже без ссылок на номера требований, как в «боевом» документе), или сделать шаблон ТЗ в Markdown/LaTeX, чтобы вы могли сразу начинать наполнять его деталями.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9" w:name="fn1"/>
    <w:bookmarkEnd w:id="49"/>
    <w:p>
      <w:pPr>
        <w:numPr>
          <w:ilvl w:val="0"/>
          <w:numId w:val="18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https://www.e3s-conferences.org/articles/e3sconf/pdf/2024/28/e3sconf_icape2024_02001.pdf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" w:name="fn2"/>
    <w:bookmarkEnd w:id="50"/>
    <w:p>
      <w:pPr>
        <w:numPr>
          <w:ilvl w:val="0"/>
          <w:numId w:val="18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https://bioone.org/journals/ambio-a-journal-of-the-human-environment/volume-35/issue-4/0044-7447(2006)35[169:PACCTR]2.0.CO;2/Permafrost-and-Changing-Climate-The-Russian-Perspective/10.1579/0044-7447(2006)35[169:PACCTR]2.0.CO;2.short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1" w:name="fn3"/>
    <w:bookmarkEnd w:id="51"/>
    <w:p>
      <w:pPr>
        <w:numPr>
          <w:ilvl w:val="0"/>
          <w:numId w:val="18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https://pmc.ncbi.nlm.nih.gov/articles/PMC8807372/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2" w:name="fn4"/>
    <w:bookmarkEnd w:id="52"/>
    <w:p>
      <w:pPr>
        <w:numPr>
          <w:ilvl w:val="0"/>
          <w:numId w:val="18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https://bellona.org/news/arctic/2021-06-permafrost-melt-caused-by-climate-change-could-cost-russia-billions-environmental-minister-says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3" w:name="fn5"/>
    <w:bookmarkEnd w:id="53"/>
    <w:p>
      <w:pPr>
        <w:numPr>
          <w:ilvl w:val="0"/>
          <w:numId w:val="18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https://www.mdpi.com/2073-4441/12/6/1817/pdf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4" w:name="fn6"/>
    <w:bookmarkEnd w:id="54"/>
    <w:p>
      <w:pPr>
        <w:numPr>
          <w:ilvl w:val="0"/>
          <w:numId w:val="18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https://www.rgs.org/media/yo5dj1e2/poster2thawingpermafrostandrussianarcticinfrastructure.pdf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5" w:name="fn7"/>
    <w:bookmarkEnd w:id="55"/>
    <w:p>
      <w:pPr>
        <w:numPr>
          <w:ilvl w:val="0"/>
          <w:numId w:val="18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https://www.climatechangepost.com/news/strong-impact-of-warming-permafrost-on-russias-buildings-and-infrastructure/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6" w:name="fn8"/>
    <w:bookmarkEnd w:id="56"/>
    <w:p>
      <w:pPr>
        <w:numPr>
          <w:ilvl w:val="0"/>
          <w:numId w:val="18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https://www.arcus.org/search-program/arctic-answers/permafrost-and-infrastructure/briefs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7" w:name="fn9"/>
    <w:bookmarkEnd w:id="57"/>
    <w:p>
      <w:pPr>
        <w:numPr>
          <w:ilvl w:val="0"/>
          <w:numId w:val="18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https://onlinelibrary.wiley.com/doi/10.1111/anti.70074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8" w:name="fn10"/>
    <w:bookmarkEnd w:id="58"/>
    <w:p>
      <w:pPr>
        <w:numPr>
          <w:ilvl w:val="0"/>
          <w:numId w:val="18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https://www.planetarysecurityinitiative.org/news/permafrost-thaw-puts-russias-arctic-ambitions-risk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9" w:name="fn11"/>
    <w:bookmarkEnd w:id="59"/>
    <w:p>
      <w:pPr>
        <w:numPr>
          <w:ilvl w:val="0"/>
          <w:numId w:val="18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https://theglobalobservatory.org/2021/11/how-permafrost-thaw-puts-the-russian-arctic-at-risk/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0" w:name="fn12"/>
    <w:bookmarkEnd w:id="60"/>
    <w:p>
      <w:pPr>
        <w:numPr>
          <w:ilvl w:val="0"/>
          <w:numId w:val="18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https://globalclimaterisks.org/insights/blog/arctic-permafrost-thaw-impending-infrastructure-crisis/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1" w:name="fn13"/>
    <w:bookmarkEnd w:id="61"/>
    <w:p>
      <w:pPr>
        <w:numPr>
          <w:ilvl w:val="0"/>
          <w:numId w:val="18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https://pmc.ncbi.nlm.nih.gov/articles/PMC10050325/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2" w:name="fn14"/>
    <w:bookmarkEnd w:id="62"/>
    <w:p>
      <w:pPr>
        <w:numPr>
          <w:ilvl w:val="0"/>
          <w:numId w:val="18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https://www.thebarentsobserver.com/climate-crisis/permafrost-might-be-reduced-to-half-by-centurys-end/115249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f63265b223ffc2682266bf377d9d6c29b8413ff.png" TargetMode="Internal"/><Relationship Id="rId6" Type="http://schemas.openxmlformats.org/officeDocument/2006/relationships/hyperlink" Target="https://www.e3s-conferences.org/articles/e3sconf/pdf/2024/28/e3sconf_icape2024_02001.pdf" TargetMode="External"/><Relationship Id="rId7" Type="http://schemas.openxmlformats.org/officeDocument/2006/relationships/hyperlink" Target="https://bioone.org/journals/ambio-a-journal-of-the-human-environment/volume-35/issue-4/0044-7447(2006)35%5B169:PACCTR%5D2.0.CO;2/Permafrost-and-Changing-Climate-The-Russian-Perspective/10.1579/0044-7447(2006)35%5B169:PACCTR%5D2.0.CO;2.short" TargetMode="External"/><Relationship Id="rId8" Type="http://schemas.openxmlformats.org/officeDocument/2006/relationships/hyperlink" Target="https://pmc.ncbi.nlm.nih.gov/articles/PMC8807372/" TargetMode="External"/><Relationship Id="rId9" Type="http://schemas.openxmlformats.org/officeDocument/2006/relationships/hyperlink" Target="https://bellona.org/news/arctic/2021-06-permafrost-melt-caused-by-climate-change-could-cost-russia-billions-environmental-minister-says" TargetMode="External"/><Relationship Id="rId10" Type="http://schemas.openxmlformats.org/officeDocument/2006/relationships/hyperlink" Target="https://www.mdpi.com/2073-4441/12/6/1817/pdf" TargetMode="External"/><Relationship Id="rId11" Type="http://schemas.openxmlformats.org/officeDocument/2006/relationships/hyperlink" Target="https://www.rgs.org/media/yo5dj1e2/poster2thawingpermafrostandrussianarcticinfrastructure.pdf" TargetMode="External"/><Relationship Id="rId12" Type="http://schemas.openxmlformats.org/officeDocument/2006/relationships/hyperlink" Target="https://www.climatechangepost.com/news/strong-impact-of-warming-permafrost-on-russias-buildings-and-infrastructure/" TargetMode="External"/><Relationship Id="rId13" Type="http://schemas.openxmlformats.org/officeDocument/2006/relationships/hyperlink" Target="https://www.arcus.org/search-program/arctic-answers/permafrost-and-infrastructure/briefs" TargetMode="External"/><Relationship Id="rId14" Type="http://schemas.openxmlformats.org/officeDocument/2006/relationships/hyperlink" Target="https://onlinelibrary.wiley.com/doi/10.1111/anti.70074" TargetMode="External"/><Relationship Id="rId15" Type="http://schemas.openxmlformats.org/officeDocument/2006/relationships/hyperlink" Target="https://www.planetarysecurityinitiative.org/news/permafrost-thaw-puts-russias-arctic-ambitions-risk" TargetMode="External"/><Relationship Id="rId16" Type="http://schemas.openxmlformats.org/officeDocument/2006/relationships/hyperlink" Target="https://theglobalobservatory.org/2021/11/how-permafrost-thaw-puts-the-russian-arctic-at-risk/" TargetMode="External"/><Relationship Id="rId17" Type="http://schemas.openxmlformats.org/officeDocument/2006/relationships/hyperlink" Target="https://globalclimaterisks.org/insights/blog/arctic-permafrost-thaw-impending-infrastructure-crisis/" TargetMode="External"/><Relationship Id="rId18" Type="http://schemas.openxmlformats.org/officeDocument/2006/relationships/hyperlink" Target="https://pmc.ncbi.nlm.nih.gov/articles/PMC10050325/" TargetMode="External"/><Relationship Id="rId19" Type="http://schemas.openxmlformats.org/officeDocument/2006/relationships/hyperlink" Target="https://www.thebarentsobserver.com/climate-crisis/permafrost-might-be-reduced-to-half-by-centurys-end/115249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2026-05-19T13:00:40.284Z</dcterms:created>
  <dcterms:modified xsi:type="dcterms:W3CDTF">2026-05-19T13:00:40.284Z</dcterms:modified>
</cp:coreProperties>
</file>