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caa0b3b153905bb303ba8ef08717594f3e7bd5ca.png"/>
            <a:graphic>
              <a:graphicData uri="http://schemas.openxmlformats.org/drawingml/2006/picture">
                <pic:pic>
                  <pic:nvPicPr>
                    <pic:cNvPr id="1" name="image-caa0b3b153905bb303ba8ef08717594f3e7bd5ca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сначала_вы_сделаете_не_черновой_т_b9b8bf"/>
      <w:r>
        <w:rPr>
          <w:rFonts w:eastAsia="georgia" w:cs="georgia" w:ascii="georgia" w:hAnsi="georgia"/>
          <w:b/>
          <w:color w:val="000000"/>
          <w:sz w:val="39"/>
        </w:rPr>
        <w:t xml:space="preserve">Сначала Вы сделаете НЕ черновой текст обзора (по 1–2 абзаца на подраздел), а правильный обзор источников (как для настоящей диссертации, без поверхностности и ИИ-слопа), а затем  начать «тянуть нитку» к ТЗ: взять раздел 9.3 и развернуть его в список формальных требований к системе (каждый пункт обзора → требование в ТЗ). Именно так и никак иначе. Это приказ Вашего непосредственного начальника.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Сделаю именно так: ниже — развернутый обзор источников по схеме 1–9, затем сразу начну превращать выводы раздела 9 в формализуемые требования к системе для ТЗ.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1_введение"/>
      <w:r>
        <w:rPr>
          <w:rFonts w:eastAsia="georgia" w:cs="georgia" w:ascii="georgia" w:hAnsi="georgia"/>
          <w:b/>
          <w:color w:val="000000"/>
          <w:sz w:val="24"/>
        </w:rPr>
        <w:t xml:space="preserve">1. Введение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Проблематика климатически обусловленной деградации многолетнемёрзлых грунтов (ММГ) и её последствий для инфраструктуры и ЧС в Арктике и на Севере России в последние 10–15 лет быстро переходит из академической плоскости в сферу прикладного управления рисками. Исследования показывают, что ускоряющееся потепление в высоких широтах, изменение снежного покрова и гидрологического режима ведут к качественной трансформации криолитозоны: ММГ перестают быть «вечными», их несущая способность и устойчивость становятся переменными во времени, а инфраструктура, спроектированная под «статичную» мерзлоту, входит в зону повышенного риска.</w:t>
      </w:r>
      <w:bookmarkStart w:id="2" w:name="fnref1"/>
      <w:bookmarkEnd w:id="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3" w:name="fnref2"/>
      <w:bookmarkEnd w:id="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4" w:name="fnref3"/>
      <w:bookmarkEnd w:id="4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5" w:name="fnref4"/>
      <w:bookmarkEnd w:id="5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6" w:name="fnref5"/>
      <w:bookmarkEnd w:id="6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На этом фоне особое значение приобретает системный взгляд, соединяющий климатические аномалии, геокриологические процессы, состояние инфраструктуры и возникновение чрезвычайных ситуаций, требующих участия МЧС. Обзор, представленный ниже, не ограничивается констатацией факта потепления; его задача — проследить цепочку от аномалий климата через деградацию ММГ к инфраструктурным авариям и ЧС, а затем выявить требования к информационно‑аналитической системе, которая может поддержать риск‑ориентированное планирование в системе ГО и ЧС.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m_2_климатические_изменения_в_ар_3cceb6"/>
      <w:r>
        <w:rPr>
          <w:rFonts w:eastAsia="georgia" w:cs="georgia" w:ascii="georgia" w:hAnsi="georgia"/>
          <w:b/>
          <w:color w:val="000000"/>
          <w:sz w:val="24"/>
        </w:rPr>
        <w:t xml:space="preserve">2. Климатические изменения в Арктике и зоне ММГ</w:t>
      </w:r>
      <w:bookmarkEnd w:id="7"/>
    </w:p>
    <w:p>
      <w:pPr>
        <w:spacing w:line="360" w:before="315" w:after="105" w:lineRule="auto"/>
        <w:ind w:left="-30"/>
        <w:jc w:val="left"/>
      </w:pPr>
      <w:bookmarkStart w:id="8" w:name="bm_2_1_тенденции_климата"/>
      <w:r>
        <w:rPr>
          <w:rFonts w:eastAsia="georgia" w:cs="georgia" w:ascii="georgia" w:hAnsi="georgia"/>
          <w:b/>
          <w:color w:val="000000"/>
          <w:sz w:val="24"/>
        </w:rPr>
        <w:t xml:space="preserve">2.1. Тенденции климата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Арктический регион, включая большую часть Сибири, нагревается в 2–4 раза быстрее глобального среднего, что подтверждается как глобальными синтезами IPCC, так и региональными исследованиями. Работы по оценке климатических рисков в Арктической зоне указывают на устойчивый тренд повышения среднегодовой температуры воздуха, увеличения суммарной положительной температуры (TDD) и уменьшения отрицательной (FDD), а также на рост частоты экстремальных событий — аномально тёплых зим, волн жары, экстремальных осадков и повторяющихся зимних оттепелей. Эти изменения усиливаются изменением циркуляции и особенностями снежного покрова, формируя новые режимы сезонного охлаждения и прогрева поверхности.</w:t>
      </w:r>
      <w:bookmarkStart w:id="9" w:name="fnref5_1"/>
      <w:bookmarkEnd w:id="9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  <w:bookmarkStart w:id="10" w:name="fnref6"/>
      <w:bookmarkEnd w:id="10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bookmarkStart w:id="11" w:name="fnref7"/>
      <w:bookmarkEnd w:id="11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Особое значение для мерзлоты имеют зимние оттепели и изменение характеристик снежного покрова: более толстый и удерживающийся снег действует как теплоизоляция, снижая глубину промерзания при поверхности и повышая температуру верхних горизонтов грунта. В ряде высокоширотных регионов фиксируется рост числа дней с температурой выше нуля в зимний период и рост интенсивности осадков в переходные сезоны, что не только увеличивает тепловой поток в грунт, но и меняет гидрологический режим — насыщение водой, образование таликов, развитие термокарста.</w:t>
      </w:r>
      <w:bookmarkStart w:id="12" w:name="fnref7_1"/>
      <w:bookmarkEnd w:id="12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  <w:bookmarkStart w:id="13" w:name="fnref8"/>
      <w:bookmarkEnd w:id="13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</w:p>
    <w:p>
      <w:pPr>
        <w:spacing w:line="360" w:before="315" w:after="105" w:lineRule="auto"/>
        <w:ind w:left="-30"/>
        <w:jc w:val="left"/>
      </w:pPr>
      <w:bookmarkStart w:id="14" w:name="bm_2_2_влияние_на_криолитозону"/>
      <w:r>
        <w:rPr>
          <w:rFonts w:eastAsia="georgia" w:cs="georgia" w:ascii="georgia" w:hAnsi="georgia"/>
          <w:b/>
          <w:color w:val="000000"/>
          <w:sz w:val="24"/>
        </w:rPr>
        <w:t xml:space="preserve">2.2. Влияние на криолитозону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Классические и современные работы по мерзлоте (включая обзор «Permafrost and Changing Climate: The Russian Perspective») подчёркивают: устойчивость криолитозоны определяется балансом теплоты, где даже относительно небольшие изменения климата на шкале десятилетий приводят к заметному поднятию изотермы 0 °C и увеличению мощности сезонно талого слоя. Моделирование и наблюдения указывают, что при сценариях продолжения нынешних трендов площадь распространения ММГ в России к концу века может сократиться до половины от текущей, а в зоне частых оттепелей и повышенной снегозапаса мерзлота будет переходить из непрерывной в прерывистую, островную или полностью деградировать.</w:t>
      </w:r>
      <w:bookmarkStart w:id="15" w:name="fnref4_1"/>
      <w:bookmarkEnd w:id="15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16" w:name="fnref5_2"/>
      <w:bookmarkEnd w:id="16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Исследования взаимодействия климата и мерзлотных процессов, в том числе анализа влияния снежного покрова на наблюдаемую деформацию инфраструктуры (например, кейс ТЭЦ в Норильске по данным радарной интерферометрии), показывают, что изменение сезонного хода снега и температуры может радикально изменить режим промерзания/оттаивания грунтов под сооружениями. Это особенно критично в районах с лёдонасыщенными грунтами и крутыми склонами, где небольшие изменения теплового режима инициируют термокарст, оползни и овражную эрозию, непосредственно угрожая опорам зданий и линейных сооружений.</w:t>
      </w:r>
      <w:bookmarkStart w:id="17" w:name="fnref8_1"/>
      <w:bookmarkEnd w:id="17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" w:name="bm_3_деградация_многолетнемёрзлых_619a02"/>
      <w:r>
        <w:rPr>
          <w:rFonts w:eastAsia="georgia" w:cs="georgia" w:ascii="georgia" w:hAnsi="georgia"/>
          <w:b/>
          <w:color w:val="000000"/>
          <w:sz w:val="24"/>
        </w:rPr>
        <w:t xml:space="preserve">3. Деградация многолетнемёрзлых грунтов и её последствия</w:t>
      </w:r>
      <w:bookmarkEnd w:id="18"/>
    </w:p>
    <w:p>
      <w:pPr>
        <w:spacing w:line="360" w:before="315" w:after="105" w:lineRule="auto"/>
        <w:ind w:left="-30"/>
        <w:jc w:val="left"/>
      </w:pPr>
      <w:bookmarkStart w:id="19" w:name="bm_3_1_физические_механизмы"/>
      <w:r>
        <w:rPr>
          <w:rFonts w:eastAsia="georgia" w:cs="georgia" w:ascii="georgia" w:hAnsi="georgia"/>
          <w:b/>
          <w:color w:val="000000"/>
          <w:sz w:val="24"/>
        </w:rPr>
        <w:t xml:space="preserve">3.1. Физические механизмы</w:t>
      </w:r>
      <w:bookmarkEnd w:id="1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Деградация ММГ — это не просто «таяние» в обыденном смысле, а комплексный процесс изменения фазового состояния воды в порах, перераспределения напряжений и осадок грунтов, сопровождаемый изменением фильтрационных и теплофизических свойств. При росте средней температуры воздуха и изменении снежного покрова повышается температура грунта (MAGST), уменьшается глубина сезонного промерзания, а сезонно талый слой (ALT) углубляется, вовлекая в оттаивание богатые льдом горизонты. Это ведёт к несогласованным осадкам и просадкам оснований, особенно опасным под колонными и свайными фундаментами, опорами трубопроводов и насыпей дорог.</w:t>
      </w:r>
      <w:bookmarkStart w:id="20" w:name="fnref5_3"/>
      <w:bookmarkEnd w:id="20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  <w:bookmarkStart w:id="21" w:name="fnref7_2"/>
      <w:bookmarkEnd w:id="21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 точки зрения инженерной геокриологии, критичен не только медленный тренд, но и усиление межгодовой изменчивости: аномально тёплые и влажные годы с глубоким протаиванием сменяются холодными и сухими, что вызывает циклическое растрескивание и деградацию грунтов. На склонах и берегах водоёмов это выражается в термоэрозии и термокарсте, на площадках — в формировании воронок, провалов, неравномерных осадок, непосредственно влияющих на устойчивость зданий и сооружений.</w:t>
      </w:r>
      <w:bookmarkStart w:id="22" w:name="fnref7_3"/>
      <w:bookmarkEnd w:id="22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  <w:bookmarkStart w:id="23" w:name="fnref5_4"/>
      <w:bookmarkEnd w:id="23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before="315" w:after="105" w:lineRule="auto"/>
        <w:ind w:left="-30"/>
        <w:jc w:val="left"/>
      </w:pPr>
      <w:bookmarkStart w:id="24" w:name="bm_3_2_масштабы_и_география_дегра_a59f6b"/>
      <w:r>
        <w:rPr>
          <w:rFonts w:eastAsia="georgia" w:cs="georgia" w:ascii="georgia" w:hAnsi="georgia"/>
          <w:b/>
          <w:color w:val="000000"/>
          <w:sz w:val="24"/>
        </w:rPr>
        <w:t xml:space="preserve">3.2. Масштабы и география деградации ММГ</w:t>
      </w:r>
      <w:bookmarkEnd w:id="2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Оценки по России и глобальной криолитозоне показывают, что деградация ММГ идёт неравномерно: наиболее уязвимы южные границы распространения мерзлоты, прибрежные зоны, речные долины и территории с высокой антропогенной нагрузкой. Для российской Арктики и Севера прогнозы указывают на рост доли территории с «критическими» условиями для существующей инфраструктуры уже к середине XXI века, при этом многие объекты были спроектированы под климатические и мерзлотные условия середины XX века и не учитывают наблюдающиеся изменения.</w:t>
      </w:r>
      <w:bookmarkStart w:id="25" w:name="fnref3_1"/>
      <w:bookmarkEnd w:id="25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26" w:name="fnref6_1"/>
      <w:bookmarkEnd w:id="26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bookmarkStart w:id="27" w:name="fnref5_5"/>
      <w:bookmarkEnd w:id="27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Вместе с тем, локальные исследования (например, по Норильскому промышленному району) показывают, что антропогенные воздействия (нарушение растительного покрова, изменение дренажа, техногенное тепло от зданий и трубопроводов) могут ускорять деградацию ММГ по сравнению с фоновым климатическим трендом. Это усиливает важность пространственно детализированного мониторинга и интеграции различных источников данных — от наземной сети до спутниковых наблюдений — в единую систему оценки состояния ММГ и риска для инфраструктуры.</w:t>
      </w:r>
      <w:bookmarkStart w:id="28" w:name="fnref9"/>
      <w:bookmarkEnd w:id="28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9" w:name="bm_4_влияние_деградации_ммг_на_ин_1acce2"/>
      <w:r>
        <w:rPr>
          <w:rFonts w:eastAsia="georgia" w:cs="georgia" w:ascii="georgia" w:hAnsi="georgia"/>
          <w:b/>
          <w:color w:val="000000"/>
          <w:sz w:val="24"/>
        </w:rPr>
        <w:t xml:space="preserve">4. Влияние деградации ММГ на инфраструктуру</w:t>
      </w:r>
      <w:bookmarkEnd w:id="29"/>
    </w:p>
    <w:p>
      <w:pPr>
        <w:spacing w:line="360" w:before="315" w:after="105" w:lineRule="auto"/>
        <w:ind w:left="-30"/>
        <w:jc w:val="left"/>
      </w:pPr>
      <w:bookmarkStart w:id="30" w:name="bm_4_1_здания_дороги_и_линейные_с_5f9316"/>
      <w:r>
        <w:rPr>
          <w:rFonts w:eastAsia="georgia" w:cs="georgia" w:ascii="georgia" w:hAnsi="georgia"/>
          <w:b/>
          <w:color w:val="000000"/>
          <w:sz w:val="24"/>
        </w:rPr>
        <w:t xml:space="preserve">4.1. Здания, дороги и линейные сооружения</w:t>
      </w:r>
      <w:bookmarkEnd w:id="3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Крупные обзоры и отраслевые оценки (в том числе подготовленные международными и российскими исследовательскими группами) однозначно фиксируют, что деградация ММГ уже оказывает сильное воздействие на здания и сооружения в России. Отмечается рост числа повреждений и деформаций зданий, просадки и разрушения дорожных покрытий, деформации аэродромов, опор линий электропередачи и других элементов инфраструктуры, особенно в районах с высокими льдосодержанием грунтов и неадаптированными конструктивными решениями.</w:t>
      </w:r>
      <w:bookmarkStart w:id="31" w:name="fnref10"/>
      <w:bookmarkEnd w:id="31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  <w:bookmarkStart w:id="32" w:name="fnref11"/>
      <w:bookmarkEnd w:id="32"/>
      <w:hyperlink w:anchor="fn1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[11]</w:t>
        </w:r>
      </w:hyperlink>
      <w:bookmarkStart w:id="33" w:name="fnref12"/>
      <w:bookmarkEnd w:id="33"/>
      <w:hyperlink w:anchor="fn1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Отдельные исследования фокусируются на социальных объектах. Так, экономическая оценка последствий деградации ММГ для учреждений здравоохранения в российской Арктике показывает, что при неблагоприятных сценариях рост повреждённости зданий и необходимость капитального ремонта/реконструкции могут приводить к значительному росту затрат региональных систем здравоохранения. При этом ухудшение доступности и состояния инфраструктуры здравоохранения на фоне роста климатических и техногенных рисков создаёт дополнительный уязвимый контур, важный для планирования ЧС.</w:t>
      </w:r>
      <w:bookmarkStart w:id="34" w:name="fnref1_1"/>
      <w:bookmarkEnd w:id="34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35" w:name="bm_4_2_промышленные_и_опасные_объекты"/>
      <w:r>
        <w:rPr>
          <w:rFonts w:eastAsia="georgia" w:cs="georgia" w:ascii="georgia" w:hAnsi="georgia"/>
          <w:b/>
          <w:color w:val="000000"/>
          <w:sz w:val="24"/>
        </w:rPr>
        <w:t xml:space="preserve">4.2. Промышленные и опасные объекты</w:t>
      </w:r>
      <w:bookmarkEnd w:id="3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Особую озабоченность вызывают промышленные объекты и площадки накопленного загрязнения, расположенные на ММГ. Обзор по объектам с наследованным индустриальным загрязнением в зоне мерзлоты демонстрирует, что тысячи таких площадок — от складов топлива и химических веществ до старых полигонов и шламонакопителей — потенциально подвержены риску разгерметизации при деградации оснований. В сочетании с неблагоприятной гидрологией (повышение уровней рек, изменение дренажа) это создаёт условия для крупных разливов и миграции загрязнителей в водные системы.</w:t>
      </w:r>
      <w:bookmarkStart w:id="36" w:name="fnref13"/>
      <w:bookmarkEnd w:id="36"/>
      <w:hyperlink w:anchor="fn1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[13]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Кейс Норильска иллюстрирует, как сочетание климатических и техногенных факторов может привести к крупнейшим авариям на объектах топливно‑энергетического комплекса. Помимо конкретной аварии, исследования по Норильскому промышленному узлу показывают, что многолетняя эксплуатация и тепловое воздействие сооружений изменяют геокриологический режим площадки, увеличивая чувствительность к дополнительным климатическим воздействиям. В совокупности это подтверждает тезис: промышленные и опасные объекты на ММГ требуют прицельной оценки риска с учётом деградации грунтов, а не только стандартных отраслевых нормативов.</w:t>
      </w:r>
      <w:bookmarkStart w:id="37" w:name="fnref14"/>
      <w:bookmarkEnd w:id="37"/>
      <w:hyperlink w:anchor="fn1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[14]</w:t>
        </w:r>
      </w:hyperlink>
      <w:bookmarkStart w:id="38" w:name="fnref15"/>
      <w:bookmarkEnd w:id="38"/>
      <w:hyperlink w:anchor="fn1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[15]</w:t>
        </w:r>
      </w:hyperlink>
      <w:bookmarkStart w:id="39" w:name="fnref16"/>
      <w:bookmarkEnd w:id="39"/>
      <w:hyperlink w:anchor="fn1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[16]</w:t>
        </w:r>
      </w:hyperlink>
      <w:bookmarkStart w:id="40" w:name="fnref8_2"/>
      <w:bookmarkEnd w:id="40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  <w:bookmarkStart w:id="41" w:name="fnref9_1"/>
      <w:bookmarkEnd w:id="41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2" w:name="bm_5_кейсы_чс_и_аварий_связанных_с_ммг"/>
      <w:r>
        <w:rPr>
          <w:rFonts w:eastAsia="georgia" w:cs="georgia" w:ascii="georgia" w:hAnsi="georgia"/>
          <w:b/>
          <w:color w:val="000000"/>
          <w:sz w:val="24"/>
        </w:rPr>
        <w:t xml:space="preserve">5. Кейсы ЧС и аварий, связанных с ММГ</w:t>
      </w:r>
      <w:bookmarkEnd w:id="42"/>
    </w:p>
    <w:p>
      <w:pPr>
        <w:spacing w:line="360" w:before="315" w:after="105" w:lineRule="auto"/>
        <w:ind w:left="-30"/>
        <w:jc w:val="left"/>
      </w:pPr>
      <w:bookmarkStart w:id="43" w:name="bm_5_1_норильск_2020_разлив_дизел_b0150c"/>
      <w:r>
        <w:rPr>
          <w:rFonts w:eastAsia="georgia" w:cs="georgia" w:ascii="georgia" w:hAnsi="georgia"/>
          <w:b/>
          <w:color w:val="000000"/>
          <w:sz w:val="24"/>
        </w:rPr>
        <w:t xml:space="preserve">5.1. Норильск‑2020: разлив дизельного топлива</w:t>
      </w:r>
      <w:bookmarkEnd w:id="4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Разлив дизельного топлива на ТЭЦ‑3 под Норильском в мае 2020 года — один из наиболее публичных и хорошо изученных примеров крупной техногенной аварии в зоне ММГ. В результате разрушения резервуара в окружающую среду попали десятки тысяч тонн топлива (оценки порядка 20–21 тыс. тонн), загрязнив реки и водоёмы, что потребовало введения режима ЧС федерального уровня, масштабной операции по локализации разлива и длительных восстановительных работ. Спутниковые наблюдения и наземные данные использовались для мониторинга распространения пятна, демонстрируя возможности космического мониторинга в поддержке решений МЧС.</w:t>
      </w:r>
      <w:bookmarkStart w:id="44" w:name="fnref16_1"/>
      <w:bookmarkEnd w:id="44"/>
      <w:hyperlink w:anchor="fn1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[16]</w:t>
        </w:r>
      </w:hyperlink>
      <w:bookmarkStart w:id="45" w:name="fnref17"/>
      <w:bookmarkEnd w:id="45"/>
      <w:hyperlink w:anchor="fn1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[17]</w:t>
        </w:r>
      </w:hyperlink>
      <w:bookmarkStart w:id="46" w:name="fnref18"/>
      <w:bookmarkEnd w:id="46"/>
      <w:hyperlink w:anchor="fn1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[18]</w:t>
        </w:r>
      </w:hyperlink>
      <w:bookmarkStart w:id="47" w:name="fnref14_1"/>
      <w:bookmarkEnd w:id="47"/>
      <w:hyperlink w:anchor="fn1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[14]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 вопросе причин аварии исследования и официальные выводы не полностью совпадают. Первичные комментарии ряда ведомств и экспертов связывали разрушение основания резервуара с просадкой свай вследствие оттаивания мерзлоты и аномально тёплых условий, подчёркивая климатический аспект. Однако позднее техническое агентство сообщило, что непосредственной причиной были конструктивные и эксплуатационные недостатки, хотя влияние деградации ММГ как фона риска не было окончательно исключено. Независимо от интерпретации причин, последствия аварии продемонстрировали масштаб потенциальных ЧС, возникающих на стыке климатических процессов, состояния ММГ и стареющей инфраструктуры, а также чрезвычайную нагрузку на систему ЧС.</w:t>
      </w:r>
      <w:bookmarkStart w:id="48" w:name="fnref15_1"/>
      <w:bookmarkEnd w:id="48"/>
      <w:hyperlink w:anchor="fn1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[15]</w:t>
        </w:r>
      </w:hyperlink>
      <w:bookmarkStart w:id="49" w:name="fnref19"/>
      <w:bookmarkEnd w:id="49"/>
      <w:hyperlink w:anchor="fn1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[19]</w:t>
        </w:r>
      </w:hyperlink>
      <w:bookmarkStart w:id="50" w:name="fnref20"/>
      <w:bookmarkEnd w:id="50"/>
      <w:hyperlink w:anchor="fn2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[20]</w:t>
        </w:r>
      </w:hyperlink>
      <w:bookmarkStart w:id="51" w:name="fnref21"/>
      <w:bookmarkEnd w:id="51"/>
      <w:hyperlink w:anchor="fn2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[21]</w:t>
        </w:r>
      </w:hyperlink>
    </w:p>
    <w:p>
      <w:pPr>
        <w:spacing w:line="360" w:before="315" w:after="105" w:lineRule="auto"/>
        <w:ind w:left="-30"/>
        <w:jc w:val="left"/>
      </w:pPr>
      <w:bookmarkStart w:id="52" w:name="bm_5_2_другие_примеры_и_типы_чс"/>
      <w:r>
        <w:rPr>
          <w:rFonts w:eastAsia="georgia" w:cs="georgia" w:ascii="georgia" w:hAnsi="georgia"/>
          <w:b/>
          <w:color w:val="000000"/>
          <w:sz w:val="24"/>
        </w:rPr>
        <w:t xml:space="preserve">5.2. Другие примеры и типы ЧС</w:t>
      </w:r>
      <w:bookmarkEnd w:id="5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Помимо Норильска, литература и журналистские расследования описывают ряд аварий на трубопроводах, резервуарах и объектах добычи, где комбинация экстремальных температур, подвижек грунта и эксплуатационных факторов приводила к утечкам и разрушениям. Часть этих случаев прямо связывается с деградацией ММГ или подвижностью грунтов, часть — с экстремальными морозами и хрупким разрушением материалов, что подчёркивает многомерность цепочки «климат → ЧС».</w:t>
      </w:r>
      <w:bookmarkStart w:id="53" w:name="fnref19_1"/>
      <w:bookmarkEnd w:id="53"/>
      <w:hyperlink w:anchor="fn1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[19]</w:t>
        </w:r>
      </w:hyperlink>
      <w:bookmarkStart w:id="54" w:name="fnref22"/>
      <w:bookmarkEnd w:id="54"/>
      <w:hyperlink w:anchor="fn2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Отдельный пласт составляет паводково‑ледоходная проблематика: анализ климатических рисков и гидрологических режимов указывает, что увеличение экстремальных осадков и ранних оттепелей может усиливать риск половодий, паводков и заторов на реках Арктики. Хотя эти ЧС не всегда напрямую зависят от ММГ, они являются частью общего «климата угроз» и могут взаимодействовать с деградирующей инфраструктурой на ММГ (подмыв опор, размыв берегов, разрушение инженерных защит).</w:t>
      </w:r>
      <w:bookmarkStart w:id="55" w:name="fnref6_2"/>
      <w:bookmarkEnd w:id="55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bookmarkStart w:id="56" w:name="fnref7_4"/>
      <w:bookmarkEnd w:id="56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</w:p>
    <w:p>
      <w:pPr>
        <w:spacing w:line="360" w:before="315" w:after="105" w:lineRule="auto"/>
        <w:ind w:left="-30"/>
        <w:jc w:val="left"/>
      </w:pPr>
      <w:bookmarkStart w:id="57" w:name="bm_5_3_реакция_государства_и_мчс"/>
      <w:r>
        <w:rPr>
          <w:rFonts w:eastAsia="georgia" w:cs="georgia" w:ascii="georgia" w:hAnsi="georgia"/>
          <w:b/>
          <w:color w:val="000000"/>
          <w:sz w:val="24"/>
        </w:rPr>
        <w:t xml:space="preserve">5.3. Реакция государства и МЧС</w:t>
      </w:r>
      <w:bookmarkEnd w:id="5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После аварии в Норильске российские власти поручили провести ревизию инфраструктуры, расположенной на мерзлоте, с целью выявления уязвимых объектов и оценки дополнительных рисков. В общественной и экспертной дискуссии усилилась тема необходимости создания систем мониторинга состояния ММГ и адаптации нормативов проектирования/эксплуатации к новым климатическим условиям. Вместе с тем очевидно, что пока такие подходы внедряются фрагментарно: нет единой системы, которая бы связала климатические и геокриологические данные, состояние объектов и статистику ЧС в единый контур поддержки решений МЧС и других ведомств.</w:t>
      </w:r>
      <w:bookmarkStart w:id="58" w:name="fnref2_1"/>
      <w:bookmarkEnd w:id="58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59" w:name="fnref23"/>
      <w:bookmarkEnd w:id="59"/>
      <w:hyperlink w:anchor="fn2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[23]</w:t>
        </w:r>
      </w:hyperlink>
      <w:bookmarkStart w:id="60" w:name="fnref3_2"/>
      <w:bookmarkEnd w:id="60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1" w:name="bm_6_экономическая_оценка_рисков_3f34aa"/>
      <w:r>
        <w:rPr>
          <w:rFonts w:eastAsia="georgia" w:cs="georgia" w:ascii="georgia" w:hAnsi="georgia"/>
          <w:b/>
          <w:color w:val="000000"/>
          <w:sz w:val="24"/>
        </w:rPr>
        <w:t xml:space="preserve">6. Экономическая оценка рисков и ущерба</w:t>
      </w:r>
      <w:bookmarkEnd w:id="61"/>
    </w:p>
    <w:p>
      <w:pPr>
        <w:spacing w:line="360" w:before="315" w:after="105" w:lineRule="auto"/>
        <w:ind w:left="-30"/>
        <w:jc w:val="left"/>
      </w:pPr>
      <w:bookmarkStart w:id="62" w:name="bm_6_1_ущерб_по_секторам"/>
      <w:r>
        <w:rPr>
          <w:rFonts w:eastAsia="georgia" w:cs="georgia" w:ascii="georgia" w:hAnsi="georgia"/>
          <w:b/>
          <w:color w:val="000000"/>
          <w:sz w:val="24"/>
        </w:rPr>
        <w:t xml:space="preserve">6.1. Ущерб по секторам</w:t>
      </w:r>
      <w:bookmarkEnd w:id="6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Экономические оценки последствий деградации ММГ для отдельных отраслей демонстрируют, что речь идёт не о «локальных» потерях, а о значимых для региональных и национальных бюджетов суммах. В работе по оценке риска для учреждений здравоохранения в российской Арктике показано, что при росте температур и деградации ММГ вероятность существенных повреждений зданий и необходимость их реконструкции существенно возрастает, а связанные с этим расходы могут достигать уровней, сопоставимых с текущими объемами капитального строительства в секторе.</w:t>
      </w:r>
      <w:bookmarkStart w:id="63" w:name="fnref1_2"/>
      <w:bookmarkEnd w:id="63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Другие исследования и обзоры (включая аналитические материалы и оценки министерств) подчёркивают, что деградация ММГ может привести к многомиллиардным затратам для России: от ремонта и модернизации транспортной, энергетической и промышленной инфраструктуры до ликвидации аварий и разливов. При этом подчёркивается, что многие объекты критической инфраструктуры (нефтегазовые месторождения, магистральные трубопроводы, крупные складские и энергетические объекты) расположены именно в зоне мерзлоты, а их отказ имеет каскадные экономические и социальные последствия, выходящие далеко за рамки конкретного региона.</w:t>
      </w:r>
      <w:bookmarkStart w:id="64" w:name="fnref24"/>
      <w:bookmarkEnd w:id="64"/>
      <w:hyperlink w:anchor="fn2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[24]</w:t>
        </w:r>
      </w:hyperlink>
      <w:bookmarkStart w:id="65" w:name="fnref3_3"/>
      <w:bookmarkEnd w:id="65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66" w:name="fnref10_1"/>
      <w:bookmarkEnd w:id="66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</w:p>
    <w:p>
      <w:pPr>
        <w:spacing w:line="360" w:before="315" w:after="105" w:lineRule="auto"/>
        <w:ind w:left="-30"/>
        <w:jc w:val="left"/>
      </w:pPr>
      <w:bookmarkStart w:id="67" w:name="bm_6_2_макроэкономические_оценки_841678"/>
      <w:r>
        <w:rPr>
          <w:rFonts w:eastAsia="georgia" w:cs="georgia" w:ascii="georgia" w:hAnsi="georgia"/>
          <w:b/>
          <w:color w:val="000000"/>
          <w:sz w:val="24"/>
        </w:rPr>
        <w:t xml:space="preserve">6.2. Макроэкономические оценки и сопоставление с адаптацией</w:t>
      </w:r>
      <w:bookmarkEnd w:id="6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Ряд работ и экспертных отчётов предлагает макроэкономические оценки, указывая, что суммарные потери России от деградации ММГ в горизонте до конца века могут измеряться в процентах ВВП, если не будут реализованы эффективные меры адаптации и мониторинга. Отдельно подчёркивается, что значительная часть потенциального ущерба связана не только с прямыми разрушениями, но и с косвенными эффектами: перебоями в энергоснабжении, транспортной доступности, ухудшением условий жизни в северных городах, необходимостью переселения из зон повышенного риска.</w:t>
      </w:r>
      <w:bookmarkStart w:id="68" w:name="fnref3_4"/>
      <w:bookmarkEnd w:id="68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69" w:name="fnref24_1"/>
      <w:bookmarkEnd w:id="69"/>
      <w:hyperlink w:anchor="fn2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[24]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На этом фоне в литературе и аналитике всё чаще проводится сравнение стоимости адаптационных и превентивных мероприятий (мониторинг ММГ, усиление оснований, модернизация объектов, изменение норм проектирования) с затратами на ликвидацию последствий ЧС. Общий вывод: ранние инвестиции в мониторинг, анализ рисков и адаптационные меры оказываются существенно дешевле «реактивного» сценария с ликвидацией крупных аварий и разрушений, что напрямую поддерживает аргументацию в пользу создания специализированных информационных систем для риск‑ориентированного планирования.</w:t>
      </w:r>
      <w:bookmarkStart w:id="70" w:name="fnref24_2"/>
      <w:bookmarkEnd w:id="70"/>
      <w:hyperlink w:anchor="fn2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[24]</w:t>
        </w:r>
      </w:hyperlink>
      <w:bookmarkStart w:id="71" w:name="fnref3_5"/>
      <w:bookmarkEnd w:id="71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2" w:name="bm_7_методы_мониторинга_прогнозир_273b00"/>
      <w:r>
        <w:rPr>
          <w:rFonts w:eastAsia="georgia" w:cs="georgia" w:ascii="georgia" w:hAnsi="georgia"/>
          <w:b/>
          <w:color w:val="000000"/>
          <w:sz w:val="24"/>
        </w:rPr>
        <w:t xml:space="preserve">7. Методы мониторинга, прогнозирования и анализа</w:t>
      </w:r>
      <w:bookmarkEnd w:id="72"/>
    </w:p>
    <w:p>
      <w:pPr>
        <w:spacing w:line="360" w:before="315" w:after="105" w:lineRule="auto"/>
        <w:ind w:left="-30"/>
        <w:jc w:val="left"/>
      </w:pPr>
      <w:bookmarkStart w:id="73" w:name="bm_7_1_наблюдательная_база"/>
      <w:r>
        <w:rPr>
          <w:rFonts w:eastAsia="georgia" w:cs="georgia" w:ascii="georgia" w:hAnsi="georgia"/>
          <w:b/>
          <w:color w:val="000000"/>
          <w:sz w:val="24"/>
        </w:rPr>
        <w:t xml:space="preserve">7.1. Наблюдательная база</w:t>
      </w:r>
      <w:bookmarkEnd w:id="7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Современный мониторинг ММГ и связанных процессов опирается на многослойную наблюдательную систему: геокриологические станции, CALM‑площадки, сети метео‑ и гидропостов, а также спутниковые наблюдения. CALM‑площадки (Circumpolar Active Layer Monitoring) обеспечивают систематические измерения глубины сезонно талого слоя (ALT), позволяя оценивать межгодовую изменчивость и тренды протаивания в разных типах ландшафтов. Станции мерзлотных исследований фиксируют температуру грунта на различных глубинах (MAGST, TTOP), что критично для оценки несущей способности оснований.</w:t>
      </w:r>
      <w:bookmarkStart w:id="74" w:name="fnref11_1"/>
      <w:bookmarkEnd w:id="74"/>
      <w:hyperlink w:anchor="fn1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[11]</w:t>
        </w:r>
      </w:hyperlink>
      <w:bookmarkStart w:id="75" w:name="fnref12_1"/>
      <w:bookmarkEnd w:id="75"/>
      <w:hyperlink w:anchor="fn1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[12]</w:t>
        </w:r>
      </w:hyperlink>
      <w:bookmarkStart w:id="76" w:name="fnref5_6"/>
      <w:bookmarkEnd w:id="76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Спутниковый мониторинг, особенно методы радарной интерферометрии (InSAR), активно применяется для оценки деформаций поверхности и сооружений в результате просадок и термокарста. В сочетании с оптическими снимками это позволяет отслеживать развитие термокарстовых воронок, оползней, эрозионных форм и фиксировать изменения, опасные для инфраструктуры. Анализ Норильского кейса с использованием InSAR показал, что деформации площадки промышленного объекта могут быть выявлены дистанционно, задолго до аварий, если имеется регулярный мониторинг и аналитический контур.</w:t>
      </w:r>
      <w:bookmarkStart w:id="77" w:name="fnref12_2"/>
      <w:bookmarkEnd w:id="77"/>
      <w:hyperlink w:anchor="fn1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[12]</w:t>
        </w:r>
      </w:hyperlink>
      <w:bookmarkStart w:id="78" w:name="fnref8_3"/>
      <w:bookmarkEnd w:id="78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</w:p>
    <w:p>
      <w:pPr>
        <w:spacing w:line="360" w:before="315" w:after="105" w:lineRule="auto"/>
        <w:ind w:left="-30"/>
        <w:jc w:val="left"/>
      </w:pPr>
      <w:bookmarkStart w:id="79" w:name="bm_7_2_модели_и_методики_анализа"/>
      <w:r>
        <w:rPr>
          <w:rFonts w:eastAsia="georgia" w:cs="georgia" w:ascii="georgia" w:hAnsi="georgia"/>
          <w:b/>
          <w:color w:val="000000"/>
          <w:sz w:val="24"/>
        </w:rPr>
        <w:t xml:space="preserve">7.2. Модели и методики анализа</w:t>
      </w:r>
      <w:bookmarkEnd w:id="7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Моделирование деградации ММГ и связанных с ней процессов разнообразно по масштабу и целям: от глобальных моделей, оценивающих сокращение площади мерзлоты, до локальных инженерных моделей оснований конкретных сооружений. Во многих работах использутся комбинации климатических сценариев (например, рост температуры и изменение осадков) с геокриологическими моделями, чтобы оценить изменения ALT, температуры грунта и связанный риск для инфраструктуры.</w:t>
      </w:r>
      <w:bookmarkStart w:id="80" w:name="fnref3_6"/>
      <w:bookmarkEnd w:id="80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81" w:name="fnref5_7"/>
      <w:bookmarkEnd w:id="81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  <w:bookmarkStart w:id="82" w:name="fnref7_5"/>
      <w:bookmarkEnd w:id="82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Для инфраструктурных задач применяются индексы уязвимости и карты риска, комбинирующие данные о типе грунтов, глубине промерзания, типе фундаментов, возрасте объектов и климатических трендах. Развиваются подходы к интеграции разных источников информации — наблюдений, моделей, дистанционного зондирования — в единую систему пространственного анализа, способную выдавать количественные оценки риска по отдельным объектам и территориям. Это направление непосредственно задаёт требования к архитектуре информационных систем поддержки решений для МЧС и других ведомств.</w:t>
      </w:r>
      <w:bookmarkStart w:id="83" w:name="fnref10_2"/>
      <w:bookmarkEnd w:id="83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  <w:bookmarkStart w:id="84" w:name="fnref11_2"/>
      <w:bookmarkEnd w:id="84"/>
      <w:hyperlink w:anchor="fn1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[11]</w:t>
        </w:r>
      </w:hyperlink>
    </w:p>
    <w:p>
      <w:pPr>
        <w:spacing w:line="360" w:before="315" w:after="105" w:lineRule="auto"/>
        <w:ind w:left="-30"/>
        <w:jc w:val="left"/>
      </w:pPr>
      <w:bookmarkStart w:id="85" w:name="bm_7_3_интеграция_в_информационны_235e33"/>
      <w:r>
        <w:rPr>
          <w:rFonts w:eastAsia="georgia" w:cs="georgia" w:ascii="georgia" w:hAnsi="georgia"/>
          <w:b/>
          <w:color w:val="000000"/>
          <w:sz w:val="24"/>
        </w:rPr>
        <w:t xml:space="preserve">7.3. Интеграция в информационные и управленческие системы</w:t>
      </w:r>
      <w:bookmarkEnd w:id="8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В ряде работ рассматриваются примеры внедрения систем мониторинга мерзлоты и инфраструктуры в управленческие практики: от корпоративных программ (мониторинг площадок ТЭК) до региональных или национальных инициатив. Отмечается, что успешные примеры объединяют несколько ключевых элементов: регулярный сбор и обработку данных, понятные индексы риска для управленцев, сценарный анализ и визуализацию, а также связь с нормативными рамками (например, требованиями по промышленной безопасности или региональными программами адаптации к климатическим изменениям).</w:t>
      </w:r>
      <w:bookmarkStart w:id="86" w:name="fnref25"/>
      <w:bookmarkEnd w:id="86"/>
      <w:hyperlink w:anchor="fn2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[25]</w:t>
        </w:r>
      </w:hyperlink>
      <w:bookmarkStart w:id="87" w:name="fnref26"/>
      <w:bookmarkEnd w:id="87"/>
      <w:hyperlink w:anchor="fn2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[26]</w:t>
        </w:r>
      </w:hyperlink>
      <w:bookmarkStart w:id="88" w:name="fnref2_2"/>
      <w:bookmarkEnd w:id="88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Однако подавляющее большинство описанных систем либо заточены под корпоративные задачи (без прямой интеграции с МЧС), либо ориентированы на научные исследования и демонстрационные проекты. Это оставляет пространство для разработки специализированных инструментов, ориентированных именно на потребности системы ГО и ЧС, где ключевыми выходами являются сценарии ЧС, уровни готовности, планы действий и распределение ресурсов.</w:t>
      </w:r>
      <w:bookmarkStart w:id="89" w:name="fnref26_1"/>
      <w:bookmarkEnd w:id="89"/>
      <w:hyperlink w:anchor="fn2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[26]</w:t>
        </w:r>
      </w:hyperlink>
      <w:bookmarkStart w:id="90" w:name="fnref25_1"/>
      <w:bookmarkEnd w:id="90"/>
      <w:hyperlink w:anchor="fn2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[25]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1" w:name="bm_8_нормативно_ведомственная_база"/>
      <w:r>
        <w:rPr>
          <w:rFonts w:eastAsia="georgia" w:cs="georgia" w:ascii="georgia" w:hAnsi="georgia"/>
          <w:b/>
          <w:color w:val="000000"/>
          <w:sz w:val="24"/>
        </w:rPr>
        <w:t xml:space="preserve">8. Нормативно‑ведомственная база</w:t>
      </w:r>
      <w:bookmarkEnd w:id="91"/>
    </w:p>
    <w:p>
      <w:pPr>
        <w:spacing w:line="360" w:before="315" w:after="105" w:lineRule="auto"/>
        <w:ind w:left="-30"/>
        <w:jc w:val="left"/>
      </w:pPr>
      <w:bookmarkStart w:id="92" w:name="bm_8_1_документы_рф_и_мчс_по_клим_e686c2"/>
      <w:r>
        <w:rPr>
          <w:rFonts w:eastAsia="georgia" w:cs="georgia" w:ascii="georgia" w:hAnsi="georgia"/>
          <w:b/>
          <w:color w:val="000000"/>
          <w:sz w:val="24"/>
        </w:rPr>
        <w:t xml:space="preserve">8.1. Документы РФ и МЧС по климатическим и природным рискам</w:t>
      </w:r>
      <w:bookmarkEnd w:id="9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Российские стратегические документы и аналитические материалы признают рост климатических рисков, в том числе для инфраструктуры на мерзлоте. В анализах климатических рисков для Арктической зоны подчёркивается, что деградация ММГ представляет одну из ключевых угроз для устойчивого развития регионов и реализации экономических проектов, а также повышает риск ЧС техногенного и природно‑техногенного характера.</w:t>
      </w:r>
      <w:bookmarkStart w:id="93" w:name="fnref2_3"/>
      <w:bookmarkEnd w:id="9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94" w:name="fnref4_2"/>
      <w:bookmarkEnd w:id="94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95" w:name="fnref6_3"/>
      <w:bookmarkEnd w:id="95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bookmarkStart w:id="96" w:name="fnref24_3"/>
      <w:bookmarkEnd w:id="96"/>
      <w:hyperlink w:anchor="fn2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[24]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МЧС и другие ведомства в своих прогнозах и докладах отмечают увеличение вероятности разрушения зданий и сооружений, повреждения транспортной и энергетической инфраструктуры на ММГ, а также возможный рост числа аварий с разливами нефтепродуктов и других загрязнителей. Вместе с тем, в существующей нормативной базе система учёта рисков ММГ для планирования ЧС структурирована слабо: деградация мерзлоты часто фигурирует как один из «опасных природных процессов» в общем перечне угроз, без выделения специализированных инструментов анализа и мониторинга для целей РСЧС.</w:t>
      </w:r>
      <w:bookmarkStart w:id="97" w:name="fnref4_3"/>
      <w:bookmarkEnd w:id="97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98" w:name="fnref24_4"/>
      <w:bookmarkEnd w:id="98"/>
      <w:hyperlink w:anchor="fn2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[24]</w:t>
        </w:r>
      </w:hyperlink>
    </w:p>
    <w:p>
      <w:pPr>
        <w:spacing w:line="360" w:before="315" w:after="105" w:lineRule="auto"/>
        <w:ind w:left="-30"/>
        <w:jc w:val="left"/>
      </w:pPr>
      <w:bookmarkStart w:id="99" w:name="bm_8_2_требования_го_и_чс_к_плани_fa3f3b"/>
      <w:r>
        <w:rPr>
          <w:rFonts w:eastAsia="georgia" w:cs="georgia" w:ascii="georgia" w:hAnsi="georgia"/>
          <w:b/>
          <w:color w:val="000000"/>
          <w:sz w:val="24"/>
        </w:rPr>
        <w:t xml:space="preserve">8.2. Требования ГО и ЧС к планированию и мониторингу</w:t>
      </w:r>
      <w:bookmarkEnd w:id="9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Система ГО и ЧС в России опирается на многоуровневую структуру планирования: федеральные, региональные и муниципальные планы действий по предупреждению и ликвидации ЧС, планы гражданской обороны, отраслевые и объектовые документы. Методические документы МЧС задают рамочные требования к идентификации опасностей, оценке риска, определению уровней ЧС, режимов функционирования РСЧС и состава сил и средств.</w:t>
      </w:r>
      <w:bookmarkStart w:id="100" w:name="fnref4_4"/>
      <w:bookmarkEnd w:id="100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101" w:name="fnref24_5"/>
      <w:bookmarkEnd w:id="101"/>
      <w:hyperlink w:anchor="fn2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[24]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При этом климатические изменения и деградация ММГ пока лишь частично интегрированы в эту систему. В ряде случаев они учитываются в разделах, посвящённых опасным природным процессам (оползни, обвалы, просадки), но не обобщаются в специализированный блок, который бы связывал климатические тенденции, геокриологические процессы, состояние инфраструктуры и статистику ЧС в единый контур управления рисками. Для такой интеграции требуются информационные системы нового типа, способные работать на стыке данных о климате, ММГ и инфраструктуре и выдавать результат в форме, пригодной для включения в планы ГО и ЧС.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2" w:name="bm_9_выводы_обзора_и_импликации_д_597cbf"/>
      <w:r>
        <w:rPr>
          <w:rFonts w:eastAsia="georgia" w:cs="georgia" w:ascii="georgia" w:hAnsi="georgia"/>
          <w:b/>
          <w:color w:val="000000"/>
          <w:sz w:val="24"/>
        </w:rPr>
        <w:t xml:space="preserve">9. Выводы обзора и импликации для проектирования системы</w:t>
      </w:r>
      <w:bookmarkEnd w:id="102"/>
    </w:p>
    <w:p>
      <w:pPr>
        <w:spacing w:line="360" w:before="315" w:after="105" w:lineRule="auto"/>
        <w:ind w:left="-30"/>
        <w:jc w:val="left"/>
      </w:pPr>
      <w:bookmarkStart w:id="103" w:name="bm_9_1_подтверждение_цепочки_клим_1e4252"/>
      <w:r>
        <w:rPr>
          <w:rFonts w:eastAsia="georgia" w:cs="georgia" w:ascii="georgia" w:hAnsi="georgia"/>
          <w:b/>
          <w:color w:val="000000"/>
          <w:sz w:val="24"/>
        </w:rPr>
        <w:t xml:space="preserve">9.1. Подтверждение цепочки «климат → ММГ → ЧС → МЧС»</w:t>
      </w:r>
      <w:bookmarkEnd w:id="10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Обзор источников демонстрирует, что элементы цепочки «климатическая аномалия → деградация ММГ → инфраструктурные аварии и ЧС → нагрузка на МЧС» хорошо обоснованы на разных уровнях. С одной стороны, существует устойчивый тренд потепления и изменения осадочного режима в Арктике и зоне ММГ, приводящий к углублению ALT и росту температуры грунта. С другой — есть многочисленные свидетельства влияния деградации ММГ на устойчивость зданий, дорог и промышленных объектов, включая расчёты экономического ущерба и оценки уязвимости.</w:t>
      </w:r>
      <w:bookmarkStart w:id="104" w:name="fnref6_4"/>
      <w:bookmarkEnd w:id="104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  <w:bookmarkStart w:id="105" w:name="fnref11_3"/>
      <w:bookmarkEnd w:id="105"/>
      <w:hyperlink w:anchor="fn1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[11]</w:t>
        </w:r>
      </w:hyperlink>
      <w:bookmarkStart w:id="106" w:name="fnref5_8"/>
      <w:bookmarkEnd w:id="106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  <w:bookmarkStart w:id="107" w:name="fnref7_6"/>
      <w:bookmarkEnd w:id="107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  <w:bookmarkStart w:id="108" w:name="fnref10_3"/>
      <w:bookmarkEnd w:id="108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  <w:bookmarkStart w:id="109" w:name="fnref1_3"/>
      <w:bookmarkEnd w:id="109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Крупные аварии, такие как Норильск‑2020, а также многочисленные менее заметные случаи повреждений инфраструктуры и утечек, показывают, что сочетание климатических аномалий, деградации ММГ и эксплуатационных факторов уже реализуется в виде ЧС, требующих привлечения значительных сил и средств МЧС. При этом ожидается, что без адаптационных мер риски будут только нарастать, а потенциальный экономический ущерб — исчисляться миллиардами.</w:t>
      </w:r>
      <w:bookmarkStart w:id="110" w:name="fnref13_1"/>
      <w:bookmarkEnd w:id="110"/>
      <w:hyperlink w:anchor="fn1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[13]</w:t>
        </w:r>
      </w:hyperlink>
      <w:bookmarkStart w:id="111" w:name="fnref14_2"/>
      <w:bookmarkEnd w:id="111"/>
      <w:hyperlink w:anchor="fn1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[14]</w:t>
        </w:r>
      </w:hyperlink>
      <w:bookmarkStart w:id="112" w:name="fnref15_2"/>
      <w:bookmarkEnd w:id="112"/>
      <w:hyperlink w:anchor="fn1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[15]</w:t>
        </w:r>
      </w:hyperlink>
      <w:bookmarkStart w:id="113" w:name="fnref16_2"/>
      <w:bookmarkEnd w:id="113"/>
      <w:hyperlink w:anchor="fn1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[16]</w:t>
        </w:r>
      </w:hyperlink>
      <w:bookmarkStart w:id="114" w:name="fnref24_6"/>
      <w:bookmarkEnd w:id="114"/>
      <w:hyperlink w:anchor="fn2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[24]</w:t>
        </w:r>
      </w:hyperlink>
      <w:bookmarkStart w:id="115" w:name="fnref1_4"/>
      <w:bookmarkEnd w:id="115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116" w:name="fnref3_7"/>
      <w:bookmarkEnd w:id="116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117" w:name="bm_9_2_пробелы_и_потребности"/>
      <w:r>
        <w:rPr>
          <w:rFonts w:eastAsia="georgia" w:cs="georgia" w:ascii="georgia" w:hAnsi="georgia"/>
          <w:b/>
          <w:color w:val="000000"/>
          <w:sz w:val="24"/>
        </w:rPr>
        <w:t xml:space="preserve">9.2. Пробелы и потребности</w:t>
      </w:r>
      <w:bookmarkEnd w:id="11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Несмотря на развитость отдельных компонентов (климатическое моделирование, геокриологические наблюдения, отраслевой мониторинг), отсутствует интегрированная система, связывающая климат, ММГ, инфраструктуру и ЧС в одном аналитическом контуре, ориентированном именно на задачи МЧС и РСЧС. Научные и корпоративные системы мониторинга часто сосредоточены на узких задачах и не обеспечивают удобного представления результатов для планирования режимов готовности, сценариев ЧС и распределения ресурсов.</w:t>
      </w:r>
      <w:bookmarkStart w:id="118" w:name="fnref25_2"/>
      <w:bookmarkEnd w:id="118"/>
      <w:hyperlink w:anchor="fn2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[25]</w:t>
        </w:r>
      </w:hyperlink>
      <w:bookmarkStart w:id="119" w:name="fnref26_2"/>
      <w:bookmarkEnd w:id="119"/>
      <w:hyperlink w:anchor="fn2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[26]</w:t>
        </w:r>
      </w:hyperlink>
      <w:bookmarkStart w:id="120" w:name="fnref2_4"/>
      <w:bookmarkEnd w:id="120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Особенно заметен дефицит инструментов, которые могли бы переводить многофакторную информацию (аномалии климата и ММГ, состояние объектов, карта ЧС) в язык, привычный для системы ГО и ЧС: уровни ЧС, сценарии, матрицы «угроза → меры по стадиям (профилактика, готовность, реагирование, восстановление) → потребность в силах и средствах». В этом контексте очевидна необходимость разработки специализированной информационно‑аналитической системы, которая бы «замыкала» описанную цепочку в контур принятия решений МЧС.</w:t>
      </w:r>
    </w:p>
    <w:p>
      <w:pPr>
        <w:spacing w:line="360" w:before="315" w:after="105" w:lineRule="auto"/>
        <w:ind w:left="-30"/>
        <w:jc w:val="left"/>
      </w:pPr>
      <w:bookmarkStart w:id="121" w:name="bm_9_3_импликации_для_тз_на_инфор_4f3e62"/>
      <w:r>
        <w:rPr>
          <w:rFonts w:eastAsia="georgia" w:cs="georgia" w:ascii="georgia" w:hAnsi="georgia"/>
          <w:b/>
          <w:color w:val="000000"/>
          <w:sz w:val="24"/>
        </w:rPr>
        <w:t xml:space="preserve">9.3. Импликации для ТЗ на информационно‑аналитическую систему</w:t>
      </w:r>
      <w:bookmarkEnd w:id="12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Из проведённого обзора следует ряд прямых требований к архитектуре и функционалу такой системы: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Она должна интегрировать </w:t>
      </w:r>
      <w:r>
        <w:rPr>
          <w:rFonts w:eastAsia="georgia" w:cs="georgia" w:ascii="georgia" w:hAnsi="georgia"/>
          <w:b/>
          <w:color w:val="000000"/>
          <w:sz w:val="21"/>
        </w:rPr>
        <w:t xml:space="preserve">климатические, геокриологические, гидрологические и инфраструктурные данные</w:t>
      </w:r>
      <w:r>
        <w:rPr>
          <w:rFonts w:eastAsia="georgia" w:cs="georgia" w:ascii="georgia" w:hAnsi="georgia"/>
          <w:color w:val="000000"/>
          <w:sz w:val="21"/>
        </w:rPr>
        <w:t xml:space="preserve"> в едином контуре.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Должна уметь вычислять </w:t>
      </w:r>
      <w:r>
        <w:rPr>
          <w:rFonts w:eastAsia="georgia" w:cs="georgia" w:ascii="georgia" w:hAnsi="georgia"/>
          <w:b/>
          <w:color w:val="000000"/>
          <w:sz w:val="21"/>
        </w:rPr>
        <w:t xml:space="preserve">информативные индикаторы</w:t>
      </w:r>
      <w:r>
        <w:rPr>
          <w:rFonts w:eastAsia="georgia" w:cs="georgia" w:ascii="georgia" w:hAnsi="georgia"/>
          <w:color w:val="000000"/>
          <w:sz w:val="21"/>
        </w:rPr>
        <w:t xml:space="preserve"> (аномалии, индексы риска) для ММГ, инфраструктуры и ЧС и устанавливать между ними статистически обоснованные связи.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Должна поддерживать </w:t>
      </w:r>
      <w:r>
        <w:rPr>
          <w:rFonts w:eastAsia="georgia" w:cs="georgia" w:ascii="georgia" w:hAnsi="georgia"/>
          <w:b/>
          <w:color w:val="000000"/>
          <w:sz w:val="21"/>
        </w:rPr>
        <w:t xml:space="preserve">пространственно‑временной анализ</w:t>
      </w:r>
      <w:r>
        <w:rPr>
          <w:rFonts w:eastAsia="georgia" w:cs="georgia" w:ascii="georgia" w:hAnsi="georgia"/>
          <w:color w:val="000000"/>
          <w:sz w:val="21"/>
        </w:rPr>
        <w:t xml:space="preserve"> и сценарное моделирование, выделяя «аномальные годы/сезоны» и зоны повышенного риска.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Выходы системы должны быть приведены к форме, </w:t>
      </w:r>
      <w:r>
        <w:rPr>
          <w:rFonts w:eastAsia="georgia" w:cs="georgia" w:ascii="georgia" w:hAnsi="georgia"/>
          <w:b/>
          <w:color w:val="000000"/>
          <w:sz w:val="21"/>
        </w:rPr>
        <w:t xml:space="preserve">совместимой с планированием в системе ГО и ЧС</w:t>
      </w:r>
      <w:r>
        <w:rPr>
          <w:rFonts w:eastAsia="georgia" w:cs="georgia" w:ascii="georgia" w:hAnsi="georgia"/>
          <w:color w:val="000000"/>
          <w:sz w:val="21"/>
        </w:rPr>
        <w:t xml:space="preserve">: уровни ЧС, режимы готовности, типовые сценарии и матрицы мероприятий по стадиям.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Система должна ориентироваться не только на ретроспективный анализ, но и на </w:t>
      </w:r>
      <w:r>
        <w:rPr>
          <w:rFonts w:eastAsia="georgia" w:cs="georgia" w:ascii="georgia" w:hAnsi="georgia"/>
          <w:b/>
          <w:color w:val="000000"/>
          <w:sz w:val="21"/>
        </w:rPr>
        <w:t xml:space="preserve">операционное применение</w:t>
      </w:r>
      <w:r>
        <w:rPr>
          <w:rFonts w:eastAsia="georgia" w:cs="georgia" w:ascii="georgia" w:hAnsi="georgia"/>
          <w:color w:val="000000"/>
          <w:sz w:val="21"/>
        </w:rPr>
        <w:t xml:space="preserve"> — поддерживать принятие решений в «критические» сезоны и годы.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Эти положения становятся «мостом» от научно‑аналитического обзора к формальному ТЗ.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2" w:name="bm_10_тянем_нитку_к_тз_выводы_обз_b35b37"/>
      <w:r>
        <w:rPr>
          <w:rFonts w:eastAsia="georgia" w:cs="georgia" w:ascii="georgia" w:hAnsi="georgia"/>
          <w:b/>
          <w:color w:val="000000"/>
          <w:sz w:val="24"/>
        </w:rPr>
        <w:t xml:space="preserve">10. «Тянем нитку» к ТЗ: выводы обзора → формализуемые требования</w:t>
      </w:r>
      <w:bookmarkEnd w:id="12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Ниже — первые формализуемые требования к проектируемой системе, напрямую выведенные из раздела 9.3 и содержания обзора. Формулирую их в терминах, близких к языку ТЗ (типа «система должна…»); на следующем шаге их можно будет механически разнести по разделам «Функциональные требования», «Требования к данным» и т. п.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Интеграция источников данных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Система должна обеспечивать приём, хранение и обработку следующих классов данных:</w:t>
      </w:r>
    </w:p>
    <w:p>
      <w:pPr>
        <w:numPr>
          <w:ilvl w:val="2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климатические ряды (температура, осадки, снег, индексы TDD/FDD и др.);</w:t>
      </w:r>
    </w:p>
    <w:p>
      <w:pPr>
        <w:numPr>
          <w:ilvl w:val="2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геокриологические данные (температура грунта на разных глубинах, ALT, показатели состояния ММГ);</w:t>
      </w:r>
    </w:p>
    <w:p>
      <w:pPr>
        <w:numPr>
          <w:ilvl w:val="2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гидрологические данные (уровни воды, паводковые характеристики);</w:t>
      </w:r>
    </w:p>
    <w:p>
      <w:pPr>
        <w:numPr>
          <w:ilvl w:val="2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данные об объектах инфраструктуры (тип, местоположение, конструктивные особенности, возраст);</w:t>
      </w:r>
    </w:p>
    <w:p>
      <w:pPr>
        <w:numPr>
          <w:ilvl w:val="2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данные о ЧС (тип, местоположение, время, масштаб, ущерб, задействованные силы и средства).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Расчёт индикаторов и аномалий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Система должна реализовывать вычисление суточных, месячных и годовых индикаторов, характеризующих состояние климата, ММГ и гидрологии, а также автоматическое выявление аномальных значений по заданным методикам (z‑оценки, процентильные пороги, скользящие окна и др.), на основе подтверждённых в литературе подходов.</w:t>
      </w:r>
      <w:bookmarkStart w:id="123" w:name="fnref5_9"/>
      <w:bookmarkEnd w:id="123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124" w:name="fnref7_7"/>
      <w:bookmarkEnd w:id="124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125" w:name="fnref3_8"/>
      <w:bookmarkEnd w:id="125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Связка «аномалии → ЧС»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Система должна обеспечивать алгоритмы установления связей между выявленными аномалиями и фактическими ЧС на заданных временных окнах (например, 0–30 дней), с расчётом лагов, характеристик совпадений и показателей риска, позволяя статистически анализировать вклад климатических и геокриологических аномалий в возникновение ЧС.</w:t>
      </w:r>
      <w:bookmarkStart w:id="126" w:name="fnref6_5"/>
      <w:bookmarkEnd w:id="126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127" w:name="fnref10_4"/>
      <w:bookmarkEnd w:id="127"/>
      <w:hyperlink w:anchor="fn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[10]</w:t>
        </w:r>
      </w:hyperlink>
      <w:bookmarkStart w:id="128" w:name="fnref13_2"/>
      <w:bookmarkEnd w:id="128"/>
      <w:hyperlink w:anchor="fn1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[13]</w:t>
        </w:r>
      </w:hyperlink>
      <w:bookmarkStart w:id="129" w:name="fnref1_5"/>
      <w:bookmarkEnd w:id="12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Пространственно‑временной анализ и сценарии «аномальных лет/сезонов»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Система должна поддерживать выделение «аномальных» годов и сезонов для регионов/муниципалитетов на основе совокупности индикаторов (климата, ММГ, гидрологии, ЧС), формируя сценарии, описанные в литературе как критически важные для инфраструктуры на ММГ (аномально тёплые и влажные годы, серии тёплых лет, аномально холодные периоды и т. п.).</w:t>
      </w:r>
      <w:bookmarkStart w:id="130" w:name="fnref3_9"/>
      <w:bookmarkEnd w:id="130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131" w:name="fnref4_5"/>
      <w:bookmarkEnd w:id="131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132" w:name="fnref5_10"/>
      <w:bookmarkEnd w:id="132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133" w:name="fnref6_6"/>
      <w:bookmarkEnd w:id="133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Индексы риска для инфраструктуры и территорий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Система должна формировать интегральные индексы риска для территорий и объектов инфраструктуры, учитывающие состояние ММГ, климатические аномалии, конструктивные особенности и опыт прошлых ЧС, в соответствии с подходами, используемыми в работах по оценке уязвимости инфраструктуры к деградации ММГ.</w:t>
      </w:r>
      <w:bookmarkStart w:id="134" w:name="fnref11_4"/>
      <w:bookmarkEnd w:id="134"/>
      <w:hyperlink w:anchor="fn1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[11]</w:t>
        </w:r>
      </w:hyperlink>
      <w:bookmarkStart w:id="135" w:name="fnref10_5"/>
      <w:bookmarkEnd w:id="135"/>
      <w:hyperlink w:anchor="fn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[10]</w:t>
        </w:r>
      </w:hyperlink>
      <w:bookmarkStart w:id="136" w:name="fnref1_6"/>
      <w:bookmarkEnd w:id="136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Адаптация выходов к формату ГО и ЧС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Выходная информация системы должна быть структурирована в формах, совместимых с практикой планирования в системе ГО и ЧС:</w:t>
      </w:r>
    </w:p>
    <w:p>
      <w:pPr>
        <w:numPr>
          <w:ilvl w:val="2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уровни ЧС (муниципальный, региональный, федеральный) и их вероятностные оценки;</w:t>
      </w:r>
    </w:p>
    <w:p>
      <w:pPr>
        <w:numPr>
          <w:ilvl w:val="2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рекомендуемые режимы функционирования РСЧС (режим повседневной деятельности, повышенной готовности, ЧС) для заданных сценариев;</w:t>
      </w:r>
    </w:p>
    <w:p>
      <w:pPr>
        <w:numPr>
          <w:ilvl w:val="2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матрицы мероприятий по стадиям «профилактика – готовность – реагирование – восстановление» для основных типов «аномальных лет/сезонов» и зон риска.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Поддержка оперативного планирования и принятия решений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Система должна работать в квазиреальном времени (на уровне обновления с периодичностью от суток до месяца) и обеспечивать функции, позволяющие дежурно‑диспетчерским службам и аналитикам МЧС:</w:t>
      </w:r>
    </w:p>
    <w:p>
      <w:pPr>
        <w:numPr>
          <w:ilvl w:val="2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отслеживать текущие климатические и геокриологические аномалии;</w:t>
      </w:r>
    </w:p>
    <w:p>
      <w:pPr>
        <w:numPr>
          <w:ilvl w:val="2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видеть их возможное влияние на инфраструктуру и вероятность ЧС;</w:t>
      </w:r>
    </w:p>
    <w:p>
      <w:pPr>
        <w:numPr>
          <w:ilvl w:val="2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оперативно формировать рекомендации по уровням готовности и распределению сил и средств.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Сценарный анализ и поддержка адаптационных решений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Система должна предоставлять средства сценарного анализа, позволяющие оценивать последствия различных климатических сценариев и стратегий адаптации (усиление оснований, модернизация объектов, изменение нормативов эксплуатации) в терминах изменения риска ЧС и ожидаемого ущерба, в соответствии с методологией, используемой в работах по экономической оценке рисков деградации ММГ.</w:t>
      </w:r>
      <w:bookmarkStart w:id="137" w:name="fnref24_7"/>
      <w:bookmarkEnd w:id="137"/>
      <w:hyperlink w:anchor="fn2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[24]</w:t>
        </w:r>
      </w:hyperlink>
      <w:bookmarkStart w:id="138" w:name="fnref1_7"/>
      <w:bookmarkEnd w:id="138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139" w:name="fnref3_10"/>
      <w:bookmarkEnd w:id="139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Интеграция с существующими системами мониторинга и управленческими контурами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 проектировании должна быть предусмотрена интеграция с уже существующими системами мониторинга и управленческими информационными системами (как ведомственными, так и корпоративными), чтобы использовать имеющуюся наблюдательную базу (CALM, геокриологические станции, спутниковый мониторинг, корпоративные системы мониторинга инфраструктуры) и избежать дублирования функций.</w:t>
      </w:r>
      <w:bookmarkStart w:id="140" w:name="fnref26_3"/>
      <w:bookmarkEnd w:id="140"/>
      <w:hyperlink w:anchor="fn2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[26]</w:t>
        </w:r>
      </w:hyperlink>
      <w:bookmarkStart w:id="141" w:name="fnref2_5"/>
      <w:bookmarkEnd w:id="141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42" w:name="fnref25_3"/>
      <w:bookmarkEnd w:id="142"/>
      <w:hyperlink w:anchor="fn2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[25]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На следующем шаге эти требования можно разнести по разделам будущего ТЗ («Требования к функциям», «Требования к составу и структуре программного обеспечения», «Требования к входным данным», «Требования к отчётным формам» и т. д.), сохранив прямую ссылку на обзор как обоснование каждого требования.</w:t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43" w:name="fn1"/>
    <w:bookmarkEnd w:id="143"/>
    <w:p>
      <w:pPr>
        <w:numPr>
          <w:ilvl w:val="0"/>
          <w:numId w:val="4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https://pmc.ncbi.nlm.nih.gov/articles/PMC8807372/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4" w:name="fn2"/>
    <w:bookmarkEnd w:id="144"/>
    <w:p>
      <w:pPr>
        <w:numPr>
          <w:ilvl w:val="0"/>
          <w:numId w:val="4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https://www.planetarysecurityinitiative.org/news/permafrost-thaw-puts-russias-arctic-ambitions-risk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5" w:name="fn3"/>
    <w:bookmarkEnd w:id="145"/>
    <w:p>
      <w:pPr>
        <w:numPr>
          <w:ilvl w:val="0"/>
          <w:numId w:val="4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https://globalclimaterisks.org/insights/blog/arctic-permafrost-thaw-impending-infrastructure-crisis/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6" w:name="fn4"/>
    <w:bookmarkEnd w:id="146"/>
    <w:p>
      <w:pPr>
        <w:numPr>
          <w:ilvl w:val="0"/>
          <w:numId w:val="4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https://www.thebarentsobserver.com/climate-crisis/permafrost-might-be-reduced-to-half-by-centurys-end/115249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7" w:name="fn5"/>
    <w:bookmarkEnd w:id="147"/>
    <w:p>
      <w:pPr>
        <w:numPr>
          <w:ilvl w:val="0"/>
          <w:numId w:val="4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https://bioone.org/journals/ambio-a-journal-of-the-human-environment/volume-35/issue-4/0044-7447(2006)35[169:PACCTR]2.0.CO;2/Permafrost-and-Changing-Climate-The-Russian-Perspective/10.1579/0044-7447(2006)35[169:PACCTR]2.0.CO;2.short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8" w:name="fn6"/>
    <w:bookmarkEnd w:id="148"/>
    <w:p>
      <w:pPr>
        <w:numPr>
          <w:ilvl w:val="0"/>
          <w:numId w:val="4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https://www.e3s-conferences.org/articles/e3sconf/pdf/2024/28/e3sconf_icape2024_02001.pdf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9" w:name="fn7"/>
    <w:bookmarkEnd w:id="149"/>
    <w:p>
      <w:pPr>
        <w:numPr>
          <w:ilvl w:val="0"/>
          <w:numId w:val="4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https://www.mdpi.com/2073-4441/12/6/1817/pdf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0" w:name="fn8"/>
    <w:bookmarkEnd w:id="150"/>
    <w:p>
      <w:pPr>
        <w:numPr>
          <w:ilvl w:val="0"/>
          <w:numId w:val="4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https://www.mdpi.com/2072-4292/15/3/654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1" w:name="fn9"/>
    <w:bookmarkEnd w:id="151"/>
    <w:p>
      <w:pPr>
        <w:numPr>
          <w:ilvl w:val="0"/>
          <w:numId w:val="4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https://nbpublish.com/library_read_article.php?id=75042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2" w:name="fn10"/>
    <w:bookmarkEnd w:id="152"/>
    <w:p>
      <w:pPr>
        <w:numPr>
          <w:ilvl w:val="0"/>
          <w:numId w:val="4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https://www.climatechangepost.com/news/strong-impact-of-warming-permafrost-on-russias-buildings-and-infrastructure/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3" w:name="fn11"/>
    <w:bookmarkEnd w:id="153"/>
    <w:p>
      <w:pPr>
        <w:numPr>
          <w:ilvl w:val="0"/>
          <w:numId w:val="4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https://www.arcus.org/search-program/arctic-answers/permafrost-and-infrastructure/briefs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4" w:name="fn12"/>
    <w:bookmarkEnd w:id="154"/>
    <w:p>
      <w:pPr>
        <w:numPr>
          <w:ilvl w:val="0"/>
          <w:numId w:val="4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https://www.rgs.org/media/yo5dj1e2/poster2thawingpermafrostandrussianarcticinfrastructure.pdf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5" w:name="fn13"/>
    <w:bookmarkEnd w:id="155"/>
    <w:p>
      <w:pPr>
        <w:numPr>
          <w:ilvl w:val="0"/>
          <w:numId w:val="4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https://pmc.ncbi.nlm.nih.gov/articles/PMC10050325/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6" w:name="fn14"/>
    <w:bookmarkEnd w:id="156"/>
    <w:p>
      <w:pPr>
        <w:numPr>
          <w:ilvl w:val="0"/>
          <w:numId w:val="4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https://pmc.ncbi.nlm.nih.gov/articles/PMC7884439/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7" w:name="fn15"/>
    <w:bookmarkEnd w:id="157"/>
    <w:p>
      <w:pPr>
        <w:numPr>
          <w:ilvl w:val="0"/>
          <w:numId w:val="4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https://phys.org/news/2020-06-russia-arctic-fuel.html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8" w:name="fn16"/>
    <w:bookmarkEnd w:id="158"/>
    <w:p>
      <w:pPr>
        <w:numPr>
          <w:ilvl w:val="0"/>
          <w:numId w:val="4"/>
        </w:numPr>
        <w:spacing w:line="360" w:after="210" w:lineRule="auto"/>
      </w:pPr>
      <w:hyperlink r:id="rId2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https://en.wikipedia.org/wiki/Norilsk_oil_spill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9" w:name="fn17"/>
    <w:bookmarkEnd w:id="159"/>
    <w:p>
      <w:pPr>
        <w:numPr>
          <w:ilvl w:val="0"/>
          <w:numId w:val="4"/>
        </w:numPr>
        <w:spacing w:line="360" w:after="210" w:lineRule="auto"/>
      </w:pPr>
      <w:hyperlink r:id="rId2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https://www.cbsnews.com/news/state-of-emergency-massive-oil-leak-arctic-circle-2020-06-04/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0" w:name="fn18"/>
    <w:bookmarkEnd w:id="160"/>
    <w:p>
      <w:pPr>
        <w:numPr>
          <w:ilvl w:val="0"/>
          <w:numId w:val="4"/>
        </w:numPr>
        <w:spacing w:line="360" w:after="210" w:lineRule="auto"/>
      </w:pPr>
      <w:hyperlink r:id="rId2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https://www.rferl.org/a/russia-norilsk-oil-spill-state-emergency-lifted-krasnoyarsk/31320583.html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1" w:name="fn19"/>
    <w:bookmarkEnd w:id="161"/>
    <w:p>
      <w:pPr>
        <w:numPr>
          <w:ilvl w:val="0"/>
          <w:numId w:val="4"/>
        </w:numPr>
        <w:spacing w:line="360" w:after="210" w:lineRule="auto"/>
      </w:pPr>
      <w:hyperlink r:id="rId2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https://www.arctictoday.com/the-massive-norilsk-fuel-spill-could-be-linked-to-permafrost-thaw-a-growing-threat-to-arctic-infrastructure/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2" w:name="fn20"/>
    <w:bookmarkEnd w:id="162"/>
    <w:p>
      <w:pPr>
        <w:numPr>
          <w:ilvl w:val="0"/>
          <w:numId w:val="4"/>
        </w:numPr>
        <w:spacing w:line="360" w:after="210" w:lineRule="auto"/>
      </w:pPr>
      <w:hyperlink r:id="rId2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https://www.reuters.com/business/environment/technical-issues-not-permafrost-blame-fuel-spill-russian-arctic-watchdog-2020-11-10/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3" w:name="fn21"/>
    <w:bookmarkEnd w:id="163"/>
    <w:p>
      <w:pPr>
        <w:numPr>
          <w:ilvl w:val="0"/>
          <w:numId w:val="4"/>
        </w:numPr>
        <w:spacing w:line="360" w:after="210" w:lineRule="auto"/>
      </w:pPr>
      <w:hyperlink r:id="rId2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https://bellona.org/news/arctic/2020-11-russias-technical-agency-says-melting-permafrost-did-not-cause-summer-oil-spill-in-arctic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4" w:name="fn22"/>
    <w:bookmarkEnd w:id="164"/>
    <w:p>
      <w:pPr>
        <w:numPr>
          <w:ilvl w:val="0"/>
          <w:numId w:val="4"/>
        </w:numPr>
        <w:spacing w:line="360" w:after="210" w:lineRule="auto"/>
      </w:pPr>
      <w:hyperlink r:id="rId2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https://www.thearcticinstitute.org/oil-spill-siberia-prepared-permafrost-thaw/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5" w:name="fn23"/>
    <w:bookmarkEnd w:id="165"/>
    <w:p>
      <w:pPr>
        <w:numPr>
          <w:ilvl w:val="0"/>
          <w:numId w:val="4"/>
        </w:numPr>
        <w:spacing w:line="360" w:after="210" w:lineRule="auto"/>
      </w:pPr>
      <w:hyperlink r:id="rId2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https://www.rferl.org/a/russian-fuel-disaster-caused-by-permafrost-melting/30655856.html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6" w:name="fn24"/>
    <w:bookmarkEnd w:id="166"/>
    <w:p>
      <w:pPr>
        <w:numPr>
          <w:ilvl w:val="0"/>
          <w:numId w:val="4"/>
        </w:numPr>
        <w:spacing w:line="360" w:after="210" w:lineRule="auto"/>
      </w:pPr>
      <w:hyperlink r:id="rId2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https://bellona.org/news/arctic/2021-06-permafrost-melt-caused-by-climate-change-could-cost-russia-billions-environmental-minister-says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7" w:name="fn25"/>
    <w:bookmarkEnd w:id="167"/>
    <w:p>
      <w:pPr>
        <w:numPr>
          <w:ilvl w:val="0"/>
          <w:numId w:val="4"/>
        </w:numPr>
        <w:spacing w:line="360" w:after="210" w:lineRule="auto"/>
      </w:pPr>
      <w:hyperlink r:id="rId3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https://onlinelibrary.wiley.com/doi/10.1111/anti.70074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8" w:name="fn26"/>
    <w:bookmarkEnd w:id="168"/>
    <w:p>
      <w:pPr>
        <w:numPr>
          <w:ilvl w:val="0"/>
          <w:numId w:val="4"/>
        </w:numPr>
        <w:spacing w:line="360" w:after="210" w:lineRule="auto"/>
      </w:pPr>
      <w:hyperlink r:id="rId3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https://theglobalobservatory.org/2021/11/how-permafrost-thaw-puts-the-russian-arctic-at-risk/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3">
    <w:multiLevelType w:val="hybridMultilevel"/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caa0b3b153905bb303ba8ef08717594f3e7bd5ca.png" TargetMode="Internal"/><Relationship Id="rId6" Type="http://schemas.openxmlformats.org/officeDocument/2006/relationships/hyperlink" Target="https://pmc.ncbi.nlm.nih.gov/articles/PMC8807372/" TargetMode="External"/><Relationship Id="rId7" Type="http://schemas.openxmlformats.org/officeDocument/2006/relationships/hyperlink" Target="https://www.planetarysecurityinitiative.org/news/permafrost-thaw-puts-russias-arctic-ambitions-risk" TargetMode="External"/><Relationship Id="rId8" Type="http://schemas.openxmlformats.org/officeDocument/2006/relationships/hyperlink" Target="https://globalclimaterisks.org/insights/blog/arctic-permafrost-thaw-impending-infrastructure-crisis/" TargetMode="External"/><Relationship Id="rId9" Type="http://schemas.openxmlformats.org/officeDocument/2006/relationships/hyperlink" Target="https://www.thebarentsobserver.com/climate-crisis/permafrost-might-be-reduced-to-half-by-centurys-end/115249" TargetMode="External"/><Relationship Id="rId10" Type="http://schemas.openxmlformats.org/officeDocument/2006/relationships/hyperlink" Target="https://bioone.org/journals/ambio-a-journal-of-the-human-environment/volume-35/issue-4/0044-7447(2006)35%5B169:PACCTR%5D2.0.CO;2/Permafrost-and-Changing-Climate-The-Russian-Perspective/10.1579/0044-7447(2006)35%5B169:PACCTR%5D2.0.CO;2.short" TargetMode="External"/><Relationship Id="rId11" Type="http://schemas.openxmlformats.org/officeDocument/2006/relationships/hyperlink" Target="https://www.e3s-conferences.org/articles/e3sconf/pdf/2024/28/e3sconf_icape2024_02001.pdf" TargetMode="External"/><Relationship Id="rId12" Type="http://schemas.openxmlformats.org/officeDocument/2006/relationships/hyperlink" Target="https://www.mdpi.com/2073-4441/12/6/1817/pdf" TargetMode="External"/><Relationship Id="rId13" Type="http://schemas.openxmlformats.org/officeDocument/2006/relationships/hyperlink" Target="https://www.mdpi.com/2072-4292/15/3/654" TargetMode="External"/><Relationship Id="rId14" Type="http://schemas.openxmlformats.org/officeDocument/2006/relationships/hyperlink" Target="https://nbpublish.com/library_read_article.php?id=75042" TargetMode="External"/><Relationship Id="rId15" Type="http://schemas.openxmlformats.org/officeDocument/2006/relationships/hyperlink" Target="https://www.climatechangepost.com/news/strong-impact-of-warming-permafrost-on-russias-buildings-and-infrastructure/" TargetMode="External"/><Relationship Id="rId16" Type="http://schemas.openxmlformats.org/officeDocument/2006/relationships/hyperlink" Target="https://www.arcus.org/search-program/arctic-answers/permafrost-and-infrastructure/briefs" TargetMode="External"/><Relationship Id="rId17" Type="http://schemas.openxmlformats.org/officeDocument/2006/relationships/hyperlink" Target="https://www.rgs.org/media/yo5dj1e2/poster2thawingpermafrostandrussianarcticinfrastructure.pdf" TargetMode="External"/><Relationship Id="rId18" Type="http://schemas.openxmlformats.org/officeDocument/2006/relationships/hyperlink" Target="https://pmc.ncbi.nlm.nih.gov/articles/PMC10050325/" TargetMode="External"/><Relationship Id="rId19" Type="http://schemas.openxmlformats.org/officeDocument/2006/relationships/hyperlink" Target="https://pmc.ncbi.nlm.nih.gov/articles/PMC7884439/" TargetMode="External"/><Relationship Id="rId20" Type="http://schemas.openxmlformats.org/officeDocument/2006/relationships/hyperlink" Target="https://phys.org/news/2020-06-russia-arctic-fuel.html" TargetMode="External"/><Relationship Id="rId21" Type="http://schemas.openxmlformats.org/officeDocument/2006/relationships/hyperlink" Target="https://en.wikipedia.org/wiki/Norilsk_oil_spill" TargetMode="External"/><Relationship Id="rId22" Type="http://schemas.openxmlformats.org/officeDocument/2006/relationships/hyperlink" Target="https://www.cbsnews.com/news/state-of-emergency-massive-oil-leak-arctic-circle-2020-06-04/" TargetMode="External"/><Relationship Id="rId23" Type="http://schemas.openxmlformats.org/officeDocument/2006/relationships/hyperlink" Target="https://www.rferl.org/a/russia-norilsk-oil-spill-state-emergency-lifted-krasnoyarsk/31320583.html" TargetMode="External"/><Relationship Id="rId24" Type="http://schemas.openxmlformats.org/officeDocument/2006/relationships/hyperlink" Target="https://www.arctictoday.com/the-massive-norilsk-fuel-spill-could-be-linked-to-permafrost-thaw-a-growing-threat-to-arctic-infrastructure/" TargetMode="External"/><Relationship Id="rId25" Type="http://schemas.openxmlformats.org/officeDocument/2006/relationships/hyperlink" Target="https://www.reuters.com/business/environment/technical-issues-not-permafrost-blame-fuel-spill-russian-arctic-watchdog-2020-11-10/" TargetMode="External"/><Relationship Id="rId26" Type="http://schemas.openxmlformats.org/officeDocument/2006/relationships/hyperlink" Target="https://bellona.org/news/arctic/2020-11-russias-technical-agency-says-melting-permafrost-did-not-cause-summer-oil-spill-in-arctic" TargetMode="External"/><Relationship Id="rId27" Type="http://schemas.openxmlformats.org/officeDocument/2006/relationships/hyperlink" Target="https://www.thearcticinstitute.org/oil-spill-siberia-prepared-permafrost-thaw/" TargetMode="External"/><Relationship Id="rId28" Type="http://schemas.openxmlformats.org/officeDocument/2006/relationships/hyperlink" Target="https://www.rferl.org/a/russian-fuel-disaster-caused-by-permafrost-melting/30655856.html" TargetMode="External"/><Relationship Id="rId29" Type="http://schemas.openxmlformats.org/officeDocument/2006/relationships/hyperlink" Target="https://bellona.org/news/arctic/2021-06-permafrost-melt-caused-by-climate-change-could-cost-russia-billions-environmental-minister-says" TargetMode="External"/><Relationship Id="rId30" Type="http://schemas.openxmlformats.org/officeDocument/2006/relationships/hyperlink" Target="https://onlinelibrary.wiley.com/doi/10.1111/anti.70074" TargetMode="External"/><Relationship Id="rId31" Type="http://schemas.openxmlformats.org/officeDocument/2006/relationships/hyperlink" Target="https://theglobalobservatory.org/2021/11/how-permafrost-thaw-puts-the-russian-arctic-at-risk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2026-05-19T12:57:32.398Z</dcterms:created>
  <dcterms:modified xsi:type="dcterms:W3CDTF">2026-05-19T12:57:32.398Z</dcterms:modified>
</cp:coreProperties>
</file>