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c559233342244bee3fe87e94be68a1267d348e76.png"/>
            <a:graphic>
              <a:graphicData uri="http://schemas.openxmlformats.org/drawingml/2006/picture">
                <pic:pic>
                  <pic:nvPicPr>
                    <pic:cNvPr id="1" name="image-c559233342244bee3fe87e94be68a1267d348e76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техническое_задание"/>
      <w:r>
        <w:rPr>
          <w:rFonts w:eastAsia="georgia" w:cs="georgia" w:ascii="georgia" w:hAnsi="georgia"/>
          <w:b/>
          <w:color w:val="000000"/>
          <w:sz w:val="39"/>
        </w:rPr>
        <w:t xml:space="preserve">Техническое задание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на создание информационно‑аналитической системы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«КЛИМАТИЧЕСКАЯ АНОМАЛИЯ → ДЕГРАДАЦИЯ ММГ → ЧС → реакция МЧС»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назначение_и_область_применения"/>
      <w:r>
        <w:rPr>
          <w:rFonts w:eastAsia="georgia" w:cs="georgia" w:ascii="georgia" w:hAnsi="georgia"/>
          <w:b/>
          <w:color w:val="000000"/>
          <w:sz w:val="24"/>
        </w:rPr>
        <w:t xml:space="preserve">1. Назначение и область применения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bm_1_1_основание_для_разработки"/>
      <w:r>
        <w:rPr>
          <w:rFonts w:eastAsia="georgia" w:cs="georgia" w:ascii="georgia" w:hAnsi="georgia"/>
          <w:b/>
          <w:color w:val="000000"/>
          <w:sz w:val="24"/>
        </w:rPr>
        <w:t xml:space="preserve">1.1. Основание для разработки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Настоящее техническое задание (ТЗ) разработано во исполнение решений руководства по повышению эффективности риск‑ориентированного планирования сил и средств МЧС России и подсистем РСЧС в условиях изменяющегося климата и деградации многолетнемёрзлых грунтов (ММГ).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 оценкам научных и ведомственных исследований, более 60–65% территории России находится в зоне распространения ММГ, при этом на этой территории сосредоточена значительная часть промышленной, транспортной и социальной инфраструктуры. Климатическое потепление и изменение режима осадков приводят к деградации ММГ, увеличению глубины сезонного протаивания и росту уязвимости зданий и сооружений, что создаёт риск возникновения ЧС техногенного и природно‑техногенного характера, в том числе с крупным материальным ущербом и угрозой жизни и здоровью населения.</w:t>
      </w:r>
      <w:bookmarkStart w:id="3" w:name="fnref1"/>
      <w:bookmarkEnd w:id="3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4" w:name="fnref2"/>
      <w:bookmarkEnd w:id="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5" w:name="fnref3"/>
      <w:bookmarkEnd w:id="5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6" w:name="fnref4"/>
      <w:bookmarkEnd w:id="6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7" w:name="fnref5"/>
      <w:bookmarkEnd w:id="7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before="315" w:after="105" w:lineRule="auto"/>
        <w:ind w:left="-30"/>
        <w:jc w:val="left"/>
      </w:pPr>
      <w:bookmarkStart w:id="8" w:name="bm_1_2_назначение_системы"/>
      <w:r>
        <w:rPr>
          <w:rFonts w:eastAsia="georgia" w:cs="georgia" w:ascii="georgia" w:hAnsi="georgia"/>
          <w:b/>
          <w:color w:val="000000"/>
          <w:sz w:val="24"/>
        </w:rPr>
        <w:t xml:space="preserve">1.2. Назначение Системы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Информационно‑аналитическая система (далее — Система) предназначена для интегрированного мониторинга климатических, геокриологических, гидрологических и инфраструктурных факторов, влияющих на возникновение чрезвычайных ситуаций в зоне ММГ, и для поддержки риск‑ориентированного планирования сил и средств МЧС и подсистем РСЧС с целью минимизации материального ущерба и числа жертв при ЧС, связанных с деградацией ММГ.</w:t>
      </w:r>
      <w:bookmarkStart w:id="9" w:name="fnref3_1"/>
      <w:bookmarkEnd w:id="9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10" w:name="fnref4_1"/>
      <w:bookmarkEnd w:id="10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11" w:name="fnref6"/>
      <w:bookmarkEnd w:id="11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Система должна реализовывать аналитическую цепочку: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климатическая аномалия → деградация ММГ → нарушение устойчивости инфраструктуры → ЧС → нагрузка на МЧС,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обеспечивая сбор данных, расчёт индикаторов и аномалий, установление связей «аномалии → ЧС», формирование индексов риска, сценарный анализ и подготовку рекомендаций по режимам функционирования РСЧС и мерам по стадиям: профилактика, готовность, реагирование, восстановление.</w:t>
      </w:r>
    </w:p>
    <w:p>
      <w:pPr>
        <w:spacing w:line="360" w:before="315" w:after="105" w:lineRule="auto"/>
        <w:ind w:left="-30"/>
        <w:jc w:val="left"/>
      </w:pPr>
      <w:bookmarkStart w:id="12" w:name="bm_1_3_область_применения"/>
      <w:r>
        <w:rPr>
          <w:rFonts w:eastAsia="georgia" w:cs="georgia" w:ascii="georgia" w:hAnsi="georgia"/>
          <w:b/>
          <w:color w:val="000000"/>
          <w:sz w:val="24"/>
        </w:rPr>
        <w:t xml:space="preserve">1.3. Область применения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Система предназначена для использования: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 центральном аппарате МЧС России;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 территориальных органах МЧС России и комиссиях по ЧС и обеспечению пожарной безопасности субъектов РФ;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 органах местного самоуправления, участвующих в планировании мероприятий по ГО и ЧС;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 научных, проектных и других организациях, выполняющих работы по анализу рисков, связанных с деградацией ММГ и инфраструктурой в зоне мерзлоты.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На первом этапе предполагается пилотное внедрение в одном или нескольких субъектов РФ (например, Республика Саха (Якутия), Красноярский край) с последующим расширением на другие регионы криолитозоны.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bm_2_требования_к_входным_данным_ffdd03"/>
      <w:r>
        <w:rPr>
          <w:rFonts w:eastAsia="georgia" w:cs="georgia" w:ascii="georgia" w:hAnsi="georgia"/>
          <w:b/>
          <w:color w:val="000000"/>
          <w:sz w:val="24"/>
        </w:rPr>
        <w:t xml:space="preserve">2. Требования к входным данным и информационному обеспечению</w:t>
      </w:r>
      <w:bookmarkEnd w:id="13"/>
    </w:p>
    <w:p>
      <w:pPr>
        <w:spacing w:line="360" w:before="315" w:after="105" w:lineRule="auto"/>
        <w:ind w:left="-30"/>
        <w:jc w:val="left"/>
      </w:pPr>
      <w:bookmarkStart w:id="14" w:name="bm_2_1_перечень_и_характеристики_f62178"/>
      <w:r>
        <w:rPr>
          <w:rFonts w:eastAsia="georgia" w:cs="georgia" w:ascii="georgia" w:hAnsi="georgia"/>
          <w:b/>
          <w:color w:val="000000"/>
          <w:sz w:val="24"/>
        </w:rPr>
        <w:t xml:space="preserve">2.1. Перечень и характеристики входных данных (требование 2.1)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Система должна обеспечивать приём, хранение и обработку следующих классов входных данных: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Климатические данные.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Система должна поддерживать загрузку многолетних рядов метеонаблюдений по ключевым метеостанциям, включая как минимум: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минимальную, среднюю и максимальную суточную температуру воздуха (Tmin, Tmean, Tmax);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суточные суммы осадков;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параметры снежного покрова (высота, при наличии — дополнительные характеристики);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производные индексы (сумма положительных и отрицательных температур — TDD/FDD, число дней с оттепелями в холодный период и др.).</w:t>
      </w:r>
      <w:bookmarkStart w:id="15" w:name="fnref2_1"/>
      <w:bookmarkEnd w:id="15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6" w:name="fnref7"/>
      <w:bookmarkEnd w:id="16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Геокриологические данные.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Система должна поддерживать приём и обработку данных, описывающих состояние ММГ, включая: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температуру грунта на различных глубинах (MAGST, TTOP и аналогичные показатели);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глубину сезонно талого слоя (ALT), в том числе по данным CALM‑площадок;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 наличии — дополнительные показатели (влажность грунта, результаты геотехнического мониторинга деформаций оснований и др.).</w:t>
      </w:r>
      <w:bookmarkStart w:id="17" w:name="fnref8"/>
      <w:bookmarkEnd w:id="17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18" w:name="fnref2_2"/>
      <w:bookmarkEnd w:id="18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Гидрологические данные.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Система должна поддерживать загрузку данных по гидрологическим постам в зонах интереса, включая: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уровни воды (суточные/более частые наблюдения);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характеристики паводков и половодий (высота, дата и длительность пиков, скорость подъёма/спада уровня);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 наличии — данные о температуре воды и ледовых явлениях.</w:t>
      </w:r>
      <w:bookmarkStart w:id="19" w:name="fnref7_1"/>
      <w:bookmarkEnd w:id="19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20" w:name="fnref9"/>
      <w:bookmarkEnd w:id="20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Инфраструктурные данные.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Система должна поддерживать учёт информации об объектах инфраструктуры, находящихся в зоне ММГ, включая: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тип объекта (здание, сооружение, линейный объект, резервуарный парк, объект топливно‑энергетического комплекса, объект социальной инфраструктуры и т. п.);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местоположение (координаты, привязка к населённому пункту/муниципальному образованию/региону);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основные конструктивные характеристики (тип фундамента, год ввода в эксплуатацию, материал, наличие систем термостабилизации и др.);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принадлежность к критической инфраструктуре (класс значимости для жизнеобеспечения).</w:t>
      </w:r>
      <w:bookmarkStart w:id="21" w:name="fnref4_2"/>
      <w:bookmarkEnd w:id="21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22" w:name="fnref10"/>
      <w:bookmarkEnd w:id="22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Данные о чрезвычайных ситуациях.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Система должна обеспечивать приём и учёт данных о ЧС, в том числе: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тип ЧС (природная, техногенная, природно‑техногенная), детализация (паводок, затор, разлив нефти/нефтепродуктов, авария на трубопроводе и др.);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территория и место возникновения (регион, муниципалитет, привязка к объекту/участку);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дата и время начала и окончания ЧС;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масштаб (уровень ЧС согласно действующей классификации — локальный, муниципальный, межмуниципальный, региональный, федеральный);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информация об ущербе (при наличии — материальный, экологический, социальный);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сведения о задействованных силах и средствах (при наличии).</w:t>
      </w:r>
    </w:p>
    <w:p>
      <w:pPr>
        <w:spacing w:line="360" w:before="315" w:after="105" w:lineRule="auto"/>
        <w:ind w:left="-30"/>
        <w:jc w:val="left"/>
      </w:pPr>
      <w:bookmarkStart w:id="23" w:name="bm_2_2_интеграция_с_внешними_исто_684b23"/>
      <w:r>
        <w:rPr>
          <w:rFonts w:eastAsia="georgia" w:cs="georgia" w:ascii="georgia" w:hAnsi="georgia"/>
          <w:b/>
          <w:color w:val="000000"/>
          <w:sz w:val="24"/>
        </w:rPr>
        <w:t xml:space="preserve">2.2. Интеграция с внешними источниками и системами (требование 2.2)</w:t>
      </w:r>
      <w:bookmarkEnd w:id="23"/>
    </w:p>
    <w:p>
      <w:pPr>
        <w:numPr>
          <w:ilvl w:val="0"/>
          <w:numId w:val="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Интеграция с системами мониторинга.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Система должна иметь возможность интеграции с действующими системами мониторинга климата, ММГ, гидрологии и состояния инфраструктуры, используемыми федеральными органами исполнительной власти, субъектами РФ и организациями — правообладателями данных. Интеграция может осуществляться через API, регламентные выгрузки/загрузки файлов или иные согласованные механизмы.</w:t>
      </w:r>
      <w:bookmarkStart w:id="24" w:name="fnref11"/>
      <w:bookmarkEnd w:id="24"/>
      <w:hyperlink w:anchor="fn1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[11]</w:t>
        </w:r>
      </w:hyperlink>
      <w:bookmarkStart w:id="25" w:name="fnref12"/>
      <w:bookmarkEnd w:id="25"/>
      <w:hyperlink w:anchor="fn1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26" w:name="fnref13"/>
      <w:bookmarkEnd w:id="26"/>
      <w:hyperlink w:anchor="fn1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Обмен с ведомственными информационными системами.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Система должна обеспечивать обмен данными с ведомственными информационными системами МЧС и органов ГО и ЧС (в части сведений о ЧС, ущербе, силах и средствах), чтобы исключить дублирование ввода данных и обеспечить согласованность официальной статистики.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Требования к формату и качеству данных.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Для каждого класса данных должен быть установлен набор обязательных полей и минимальные требования к качеству (длительность ряда, допустимый уровень пропусков, допустимые диапазоны значений), исходя из методик анализа, описанных в разделе 3.</w:t>
      </w:r>
      <w:bookmarkStart w:id="27" w:name="fnref2_3"/>
      <w:bookmarkEnd w:id="27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28" w:name="fnref7_2"/>
      <w:bookmarkEnd w:id="28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9" w:name="bm_3_функциональные_требования"/>
      <w:r>
        <w:rPr>
          <w:rFonts w:eastAsia="georgia" w:cs="georgia" w:ascii="georgia" w:hAnsi="georgia"/>
          <w:b/>
          <w:color w:val="000000"/>
          <w:sz w:val="24"/>
        </w:rPr>
        <w:t xml:space="preserve">3. Функциональные требования</w:t>
      </w:r>
      <w:bookmarkEnd w:id="29"/>
    </w:p>
    <w:p>
      <w:pPr>
        <w:spacing w:line="360" w:before="315" w:after="105" w:lineRule="auto"/>
        <w:ind w:left="-30"/>
        <w:jc w:val="left"/>
      </w:pPr>
      <w:bookmarkStart w:id="30" w:name="bm_3_1_расчёт_индикаторов_и_анома_a50b70"/>
      <w:r>
        <w:rPr>
          <w:rFonts w:eastAsia="georgia" w:cs="georgia" w:ascii="georgia" w:hAnsi="georgia"/>
          <w:b/>
          <w:color w:val="000000"/>
          <w:sz w:val="24"/>
        </w:rPr>
        <w:t xml:space="preserve">3.1. Расчёт индикаторов и аномалий (требование 3.1)</w:t>
      </w:r>
      <w:bookmarkEnd w:id="3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Система должна обеспечивать полный цикл расчёта индикаторов и выявления аномалий: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Расчёт базовых индикаторов.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Для климатических данных: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суточные и агрегированные (месячные, сезонные, годовые) характеристики температуры, осадков и снежного покрова (средние, минимальные, максимальные значения, суммы, число дней с заданными условиями и т. п.).</w:t>
      </w:r>
      <w:bookmarkStart w:id="31" w:name="fnref7_3"/>
      <w:bookmarkEnd w:id="31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32" w:name="fnref2_4"/>
      <w:bookmarkEnd w:id="32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геокриологических данных: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показатели температуры грунта на различных глубинах (MAGST, TTOP и др.);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глубина сезонно талого слоя (ALT) и другие доступные показатели состояния ММГ.</w:t>
      </w:r>
      <w:bookmarkStart w:id="33" w:name="fnref8_1"/>
      <w:bookmarkEnd w:id="33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34" w:name="fnref2_5"/>
      <w:bookmarkEnd w:id="34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гидрологических данных: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высота, время наступления и длительность паводков/половодий;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амплитуды подъёма/спада уровня;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частота превышения заданных уровней и другие характеристики.</w:t>
      </w:r>
      <w:bookmarkStart w:id="35" w:name="fnref9_1"/>
      <w:bookmarkEnd w:id="35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36" w:name="fnref7_4"/>
      <w:bookmarkEnd w:id="36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Выявление аномалий.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Система должна реализовывать алгоритмы выявления суточных, месячных и годовых климатических и геокриологических аномалий, основанные на: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z‑оценках (отклонение от многолетней нормы);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процентильных порогах (например, выше 95‑го/99‑го процентиля);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скользящих статистиках (с учётом сезонной климатологии).</w:t>
      </w:r>
      <w:bookmarkStart w:id="37" w:name="fnref14"/>
      <w:bookmarkEnd w:id="37"/>
      <w:hyperlink w:anchor="fn1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[14]</w:t>
        </w:r>
      </w:hyperlink>
      <w:bookmarkStart w:id="38" w:name="fnref2_6"/>
      <w:bookmarkEnd w:id="38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39" w:name="fnref7_5"/>
      <w:bookmarkEnd w:id="39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каждой аномалии должны определяться: тип индикатора, величина отклонения, категория тяжести (не менее двух уровней, например «умеренная», «экстремальная») и числовой балл риска (risk points).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Конфигурируемость методик.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Параметры методик (период базового климата, пороговые значения процентилей, длина окна скользящих статистик, пороги z‑оценки) должны быть настраиваемыми и документированными.</w:t>
      </w:r>
    </w:p>
    <w:p>
      <w:pPr>
        <w:spacing w:line="360" w:before="315" w:after="105" w:lineRule="auto"/>
        <w:ind w:left="-30"/>
        <w:jc w:val="left"/>
      </w:pPr>
      <w:bookmarkStart w:id="40" w:name="bm_3_2_установление_связей_аномал_996492"/>
      <w:r>
        <w:rPr>
          <w:rFonts w:eastAsia="georgia" w:cs="georgia" w:ascii="georgia" w:hAnsi="georgia"/>
          <w:b/>
          <w:color w:val="000000"/>
          <w:sz w:val="24"/>
        </w:rPr>
        <w:t xml:space="preserve">3.2. Установление связей «аномалии → ЧС» (требование 3.2)</w:t>
      </w:r>
      <w:bookmarkEnd w:id="40"/>
    </w:p>
    <w:p>
      <w:pPr>
        <w:numPr>
          <w:ilvl w:val="0"/>
          <w:numId w:val="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Временные окна и лаги.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Для каждой ЧС Система должна иметь возможность автоматически находить одну или несколько аномалий, произошедших в заданных временных окнах до и/или после момента ЧС (например, 0–3, 4–7, 8–14, 15–30 суток и др.). Для каждой пары «аномалия – ЧС» должен рассчитываться временной лаг (в сутках) и принадлежность к заданной интервалу lag‑категории.</w:t>
      </w:r>
      <w:bookmarkStart w:id="41" w:name="fnref6_1"/>
      <w:bookmarkEnd w:id="41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42" w:name="fnref3_2"/>
      <w:bookmarkEnd w:id="42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43" w:name="fnref9_2"/>
      <w:bookmarkEnd w:id="43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Характеристика связей.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Система должна формировать таблицу связей, в которой для каждой ЧС перечислены выявленные аномалии с указанием их характеристик (тип индикатора, станция/пост, величина и тяжесть аномалии, risk points), временных лагов и агрегированных показателей риска по событию.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Аналитический модуль.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На основе таблицы связей Система должна обеспечивать построение статистики (распределение по типам ЧС, типам аномалий, интервалам лагов), позволяющей выявлять наиболее типичные комбинации аномалий, предшествующие ЧС, и используемой для формализации сценариев «аномальных лет/сезонов» и матриц мероприятий.</w:t>
      </w:r>
      <w:bookmarkStart w:id="44" w:name="fnref3_3"/>
      <w:bookmarkEnd w:id="44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45" w:name="fnref4_3"/>
      <w:bookmarkEnd w:id="45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46" w:name="fnref9_3"/>
      <w:bookmarkEnd w:id="46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spacing w:line="360" w:before="315" w:after="105" w:lineRule="auto"/>
        <w:ind w:left="-30"/>
        <w:jc w:val="left"/>
      </w:pPr>
      <w:bookmarkStart w:id="47" w:name="bm_3_3_пространственно_временной_d29282"/>
      <w:r>
        <w:rPr>
          <w:rFonts w:eastAsia="georgia" w:cs="georgia" w:ascii="georgia" w:hAnsi="georgia"/>
          <w:b/>
          <w:color w:val="000000"/>
          <w:sz w:val="24"/>
        </w:rPr>
        <w:t xml:space="preserve">3.3. Пространственно‑временной анализ и сценарии «аномальных лет/сезонов» (требование 3.3)</w:t>
      </w:r>
      <w:bookmarkEnd w:id="47"/>
    </w:p>
    <w:p>
      <w:pPr>
        <w:numPr>
          <w:ilvl w:val="0"/>
          <w:numId w:val="6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Выделение аномальных лет/сезонов.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Для заданного региона/муниципального образования Система должна определять годы и сезоны, в которых совокупность аномалий (по климату, ММГ и гидрологии) существенно отклоняется от многолетней нормы, и относить их к заранее определённым сценарным типам («аномально тёплый год», «серия тёплых и влажных лет», «аномально холодный год» и т. п.).</w:t>
      </w:r>
      <w:bookmarkStart w:id="48" w:name="fnref15"/>
      <w:bookmarkEnd w:id="48"/>
      <w:hyperlink w:anchor="fn1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[15]</w:t>
        </w:r>
      </w:hyperlink>
      <w:bookmarkStart w:id="49" w:name="fnref9_4"/>
      <w:bookmarkEnd w:id="49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50" w:name="fnref14_1"/>
      <w:bookmarkEnd w:id="50"/>
      <w:hyperlink w:anchor="fn1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[14]</w:t>
        </w:r>
      </w:hyperlink>
      <w:bookmarkStart w:id="51" w:name="fnref2_7"/>
      <w:bookmarkEnd w:id="51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6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Пространственные карты аномалий и индексов.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Система должна обеспечивать построение карт и диаграмм, показывающих распределение аномалий и индексов риска по территории (станции, посты, объекты) в выбранном временном интервале.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Статистика по сценариям.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Для каждого сценария «аномального года/сезона» должна формироваться статистика ЧС (частота, типы, уровни), используемая при оценке риска и подготовке рекомендаций по режимам функционирования РСЧС и планированию сил и средств.</w:t>
      </w:r>
    </w:p>
    <w:p>
      <w:pPr>
        <w:spacing w:line="360" w:before="315" w:after="105" w:lineRule="auto"/>
        <w:ind w:left="-30"/>
        <w:jc w:val="left"/>
      </w:pPr>
      <w:bookmarkStart w:id="52" w:name="bm_3_4_индексы_риска_для_инфрастр_472ef9"/>
      <w:r>
        <w:rPr>
          <w:rFonts w:eastAsia="georgia" w:cs="georgia" w:ascii="georgia" w:hAnsi="georgia"/>
          <w:b/>
          <w:color w:val="000000"/>
          <w:sz w:val="24"/>
        </w:rPr>
        <w:t xml:space="preserve">3.4. Индексы риска для инфраструктуры и территорий (требование 3.4)</w:t>
      </w:r>
      <w:bookmarkEnd w:id="52"/>
    </w:p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Территориальные индексы риска.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Для каждого региона/муниципального образования должен рассчитываться интегральный индекс климато‑геокриологического риска, учитывающий: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совокупную интенсивность и тяжесть аномалий (климатических, геокриологических, гидрологических);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состав и состояние объектов инфраструктуры на ММГ;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историю возникновения ЧС.</w:t>
      </w:r>
      <w:bookmarkStart w:id="53" w:name="fnref10_1"/>
      <w:bookmarkEnd w:id="53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54" w:name="fnref4_4"/>
      <w:bookmarkEnd w:id="54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55" w:name="fnref3_4"/>
      <w:bookmarkEnd w:id="55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Индексы риска для объектов.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Для каждого объекта инфраструктуры должен рассчитываться индекс риска, учитывающий: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тип и возраст объекта;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тип основания и уязвимость к деградации ММГ;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локальные климатические и геокриологические тенденции;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близость к дополнительным источникам риска (паводкоопасные зоны, склоны, термокарстовые участки и т. п.).</w:t>
      </w:r>
      <w:bookmarkStart w:id="56" w:name="fnref4_5"/>
      <w:bookmarkEnd w:id="56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57" w:name="fnref10_2"/>
      <w:bookmarkEnd w:id="57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</w:p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Классификация по классам риска.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По значениям индексов Система должна относить территории и объекты к классам риска (например, низкий, умеренный, высокий, критический) для целей приоритизации обследований, адаптационных мероприятий и планирования сил и средств МЧС.</w:t>
      </w:r>
    </w:p>
    <w:p>
      <w:pPr>
        <w:spacing w:line="360" w:before="315" w:after="105" w:lineRule="auto"/>
        <w:ind w:left="-30"/>
        <w:jc w:val="left"/>
      </w:pPr>
      <w:bookmarkStart w:id="58" w:name="bm_3_5_адаптация_выходов_к_формат_6f89ba"/>
      <w:r>
        <w:rPr>
          <w:rFonts w:eastAsia="georgia" w:cs="georgia" w:ascii="georgia" w:hAnsi="georgia"/>
          <w:b/>
          <w:color w:val="000000"/>
          <w:sz w:val="24"/>
        </w:rPr>
        <w:t xml:space="preserve">3.5. Адаптация выходов к формату ГО и ЧС (требование 3.5)</w:t>
      </w:r>
      <w:bookmarkEnd w:id="58"/>
    </w:p>
    <w:p>
      <w:pPr>
        <w:numPr>
          <w:ilvl w:val="0"/>
          <w:numId w:val="8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Оценка уровней ЧС.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На основе сценариев «аномальных лет/сезонов», индексов риска и истории ЧС Система должна формировать ориентировочную оценку вероятных уровней ЧС (муниципальный, региональный, межрегиональный, федеральный) для заданной территории/сценария.</w:t>
      </w:r>
    </w:p>
    <w:p>
      <w:pPr>
        <w:numPr>
          <w:ilvl w:val="0"/>
          <w:numId w:val="8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Режимы функционирования РСЧС.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Система должна выдавать рекомендации по переходу территориальных подсистем РСЧС в режимы повышенной готовности либо режим ЧС при наступлении определённых сценариев «аномальных лет/сезонов» и достижении установленных пороговых значений индексов риска.</w:t>
      </w:r>
    </w:p>
    <w:p>
      <w:pPr>
        <w:numPr>
          <w:ilvl w:val="0"/>
          <w:numId w:val="8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Матрицы мероприятий по стадиям.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Для каждого сценария Система должна формировать матрицы мероприятий по стадиям: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профилактика (дополнительный мониторинг, обследования, плановые усиления и др.);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готовность (предразвёртывание сил, уточнение планов, оповещение);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реагирование (варианты проведения АСДНР, эвакуация, защита критической инфраструктуры);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восстановление (ремонт, модернизация, изменение нормативов и др.).</w:t>
      </w:r>
    </w:p>
    <w:p>
      <w:pPr>
        <w:spacing w:line="360" w:before="315" w:after="105" w:lineRule="auto"/>
        <w:ind w:left="-30"/>
        <w:jc w:val="left"/>
      </w:pPr>
      <w:bookmarkStart w:id="59" w:name="bm_3_6_поддержка_оперативного_пла_9f00cb"/>
      <w:r>
        <w:rPr>
          <w:rFonts w:eastAsia="georgia" w:cs="georgia" w:ascii="georgia" w:hAnsi="georgia"/>
          <w:b/>
          <w:color w:val="000000"/>
          <w:sz w:val="24"/>
        </w:rPr>
        <w:t xml:space="preserve">3.6. Поддержка оперативного планирования и принятия решений (требование 3.6)</w:t>
      </w:r>
      <w:bookmarkEnd w:id="59"/>
    </w:p>
    <w:p>
      <w:pPr>
        <w:numPr>
          <w:ilvl w:val="0"/>
          <w:numId w:val="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Режим обновления и оповещения.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Система должна обеспечивать регулярное обновление оперативных индикаторов и аномалий (не реже 1 раза в сутки при наличии данных) и оповещение пользователей о достижении пороговых значений индексов риска и наступлении значимых аномальных событий.</w:t>
      </w:r>
    </w:p>
    <w:p>
      <w:pPr>
        <w:numPr>
          <w:ilvl w:val="0"/>
          <w:numId w:val="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Оперативные панели мониторинга.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Пользовательский интерфейс должен включать панели мониторинга, отображающие текущие аномалии, индексы риска, сценарии и потенциальные угрозы для инфраструктуры и населения, с возможностью фильтрации по территории и типу угроз.</w:t>
      </w:r>
    </w:p>
    <w:p>
      <w:pPr>
        <w:numPr>
          <w:ilvl w:val="0"/>
          <w:numId w:val="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Поддержка решений.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На основе текущих данных и сценариев Система должна предоставлять пользователю рекомендации по возможным действиям (усиление мониторинга, подготовка к переходу в режим повышенной готовности, приоритизация обследования объектов и др.).</w:t>
      </w:r>
    </w:p>
    <w:p>
      <w:pPr>
        <w:spacing w:line="360" w:before="315" w:after="105" w:lineRule="auto"/>
        <w:ind w:left="-30"/>
        <w:jc w:val="left"/>
      </w:pPr>
      <w:bookmarkStart w:id="60" w:name="bm_3_7_сценарный_анализ_и_оценка_fa016f"/>
      <w:r>
        <w:rPr>
          <w:rFonts w:eastAsia="georgia" w:cs="georgia" w:ascii="georgia" w:hAnsi="georgia"/>
          <w:b/>
          <w:color w:val="000000"/>
          <w:sz w:val="24"/>
        </w:rPr>
        <w:t xml:space="preserve">3.7. Сценарный анализ и оценка эффектов адаптации (требование 3.7)</w:t>
      </w:r>
      <w:bookmarkEnd w:id="60"/>
    </w:p>
    <w:p>
      <w:pPr>
        <w:numPr>
          <w:ilvl w:val="0"/>
          <w:numId w:val="10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Сценарии климатического развития.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Система должна поддерживать анализ риска при альтернативных сценариях изменения климата (например, различных сценариях потепления и изменения осадков), основанных на данных климатического моделирования.</w:t>
      </w:r>
      <w:bookmarkStart w:id="61" w:name="fnref14_2"/>
      <w:bookmarkEnd w:id="61"/>
      <w:hyperlink w:anchor="fn1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[14]</w:t>
        </w:r>
      </w:hyperlink>
      <w:bookmarkStart w:id="62" w:name="fnref2_8"/>
      <w:bookmarkEnd w:id="62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63" w:name="fnref7_6"/>
      <w:bookmarkEnd w:id="63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10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Сценарии адаптационных мероприятий.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Система должна позволять оценивать влияние различных адаптационных мер (усиление оснований, модернизация объектов, изменение режимов эксплуатации) на индексы риска и ожидаемое снижение вероятности и тяжести ЧС.</w:t>
      </w:r>
      <w:bookmarkStart w:id="64" w:name="fnref5_1"/>
      <w:bookmarkEnd w:id="64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65" w:name="fnref3_5"/>
      <w:bookmarkEnd w:id="65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66" w:name="fnref14_3"/>
      <w:bookmarkEnd w:id="66"/>
      <w:hyperlink w:anchor="fn1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numPr>
          <w:ilvl w:val="0"/>
          <w:numId w:val="10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Поддержка стратегического планирования.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Результаты сценарного анализа должны представляться в формах, пригодных для использования при разработке стратегических программ развития и адаптации регионов и отраслей.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7" w:name="bm_4_требования_к_выходной_информ_1c79a1"/>
      <w:r>
        <w:rPr>
          <w:rFonts w:eastAsia="georgia" w:cs="georgia" w:ascii="georgia" w:hAnsi="georgia"/>
          <w:b/>
          <w:color w:val="000000"/>
          <w:sz w:val="24"/>
        </w:rPr>
        <w:t xml:space="preserve">4. Требования к выходной информации и отчётности</w:t>
      </w:r>
      <w:bookmarkEnd w:id="67"/>
    </w:p>
    <w:p>
      <w:pPr>
        <w:spacing w:line="360" w:before="315" w:after="105" w:lineRule="auto"/>
        <w:ind w:left="-30"/>
        <w:jc w:val="left"/>
      </w:pPr>
      <w:bookmarkStart w:id="68" w:name="bm_4_1_отчётные_формы_для_планиро_74d6e6"/>
      <w:r>
        <w:rPr>
          <w:rFonts w:eastAsia="georgia" w:cs="georgia" w:ascii="georgia" w:hAnsi="georgia"/>
          <w:b/>
          <w:color w:val="000000"/>
          <w:sz w:val="24"/>
        </w:rPr>
        <w:t xml:space="preserve">4.1. Отчётные формы для планирования ГО и ЧС (требование 4.1)</w:t>
      </w:r>
      <w:bookmarkEnd w:id="6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Система должна обеспечивать формирование отчётных материалов, пригодных для использования в планах ГО и ЧС и иных управленческих документах:</w:t>
      </w:r>
    </w:p>
    <w:p>
      <w:pPr>
        <w:numPr>
          <w:ilvl w:val="0"/>
          <w:numId w:val="1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Сценарные отчёты по «аномальным годам/сезонам».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Отчёты должны включать: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описание сценария;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используемые индикаторы и пороги;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карты и таблицы аномалий и индексов риска;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оценку вероятных уровней ЧС и рекомендуемых режимов функционирования РСЧС;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перечень рекомендуемых мероприятий по стадиям.</w:t>
      </w:r>
    </w:p>
    <w:p>
      <w:pPr>
        <w:numPr>
          <w:ilvl w:val="0"/>
          <w:numId w:val="1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Отчёты по рискам инфраструктуры.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Отчёты по объектам инфраструктуры (по выбранным спискам или категориям), с указанием: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классов риска;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ключевых факторов риска;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рекомендуемых приоритетов обследования и адаптационных мероприятий.</w:t>
      </w:r>
      <w:bookmarkStart w:id="69" w:name="fnref10_3"/>
      <w:bookmarkEnd w:id="69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70" w:name="fnref3_6"/>
      <w:bookmarkEnd w:id="70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71" w:name="fnref4_6"/>
      <w:bookmarkEnd w:id="71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Отчёты по факторам риска и ЧС.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Отчёты, отражающие статистику связей «аномалии → ЧС» (по типам ЧС, территориям, временным окнам), используемые для анализа тенденций и корректировки планов.</w:t>
      </w:r>
    </w:p>
    <w:p>
      <w:pPr>
        <w:spacing w:line="360" w:before="315" w:after="105" w:lineRule="auto"/>
        <w:ind w:left="-30"/>
        <w:jc w:val="left"/>
      </w:pPr>
      <w:bookmarkStart w:id="72" w:name="bm_4_2_форматы_и_каналы_выдачи_тр_c89d00"/>
      <w:r>
        <w:rPr>
          <w:rFonts w:eastAsia="georgia" w:cs="georgia" w:ascii="georgia" w:hAnsi="georgia"/>
          <w:b/>
          <w:color w:val="000000"/>
          <w:sz w:val="24"/>
        </w:rPr>
        <w:t xml:space="preserve">4.2. Форматы и каналы выдачи (требование 4.2)</w:t>
      </w:r>
      <w:bookmarkEnd w:id="72"/>
    </w:p>
    <w:p>
      <w:pPr>
        <w:numPr>
          <w:ilvl w:val="0"/>
          <w:numId w:val="1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Форматы файлов.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Табличные данные: CSV, XLSX.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Докладные и аналитические материалы: PDF, HTML (при необходимости — DOCX по согласованию).</w:t>
      </w:r>
    </w:p>
    <w:p>
      <w:pPr>
        <w:numPr>
          <w:ilvl w:val="0"/>
          <w:numId w:val="1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Интерактивные отчёты.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Система должна обеспечивать формирование интерактивных отчётов и панелей (web‑интерфейс) для использования в ситуационных центрах и на рабочих местах аналитиков.</w:t>
      </w:r>
    </w:p>
    <w:p>
      <w:pPr>
        <w:spacing w:line="360" w:before="315" w:after="105" w:lineRule="auto"/>
        <w:ind w:left="-30"/>
        <w:jc w:val="left"/>
      </w:pPr>
      <w:bookmarkStart w:id="73" w:name="bm_4_3_визуализация_требование_4_3"/>
      <w:r>
        <w:rPr>
          <w:rFonts w:eastAsia="georgia" w:cs="georgia" w:ascii="georgia" w:hAnsi="georgia"/>
          <w:b/>
          <w:color w:val="000000"/>
          <w:sz w:val="24"/>
        </w:rPr>
        <w:t xml:space="preserve">4.3. Визуализация (требование 4.3)</w:t>
      </w:r>
      <w:bookmarkEnd w:id="73"/>
    </w:p>
    <w:p>
      <w:pPr>
        <w:numPr>
          <w:ilvl w:val="0"/>
          <w:numId w:val="1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Картографическое представление.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Система должна обеспечивать отображение станций, объектов и территорий на карте с возможностью отображения: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аномалий;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индексов риска;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сценариев «аномальных лет/сезонов»;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ЧС и их характеристик.</w:t>
      </w:r>
    </w:p>
    <w:p>
      <w:pPr>
        <w:numPr>
          <w:ilvl w:val="0"/>
          <w:numId w:val="1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Графики и диаграммы.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Система должна обеспечивать построение временных рядов индикаторов и индексов, графиков и диаграмм, иллюстрирующих динамику риска, связи «аномалии → ЧС» и распределение по сценариям.</w:t>
      </w:r>
    </w:p>
    <w:p>
      <w:pPr>
        <w:numPr>
          <w:ilvl w:val="0"/>
          <w:numId w:val="1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Настройки визуализации.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Пользователь должен иметь возможность настройки видов и параметров визуализации (выбор временного интервала, набора индикаторов, уровня агрегации и т. п.).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4" w:name="bm_5_требования_к_архитектуре_инт_adb1cd"/>
      <w:r>
        <w:rPr>
          <w:rFonts w:eastAsia="georgia" w:cs="georgia" w:ascii="georgia" w:hAnsi="georgia"/>
          <w:b/>
          <w:color w:val="000000"/>
          <w:sz w:val="24"/>
        </w:rPr>
        <w:t xml:space="preserve">5. Требования к архитектуре, интеграции и технической реализации</w:t>
      </w:r>
      <w:bookmarkEnd w:id="74"/>
    </w:p>
    <w:p>
      <w:pPr>
        <w:spacing w:line="360" w:before="315" w:after="105" w:lineRule="auto"/>
        <w:ind w:left="-30"/>
        <w:jc w:val="left"/>
      </w:pPr>
      <w:bookmarkStart w:id="75" w:name="bm_5_1_общая_архитектура_системы_560609"/>
      <w:r>
        <w:rPr>
          <w:rFonts w:eastAsia="georgia" w:cs="georgia" w:ascii="georgia" w:hAnsi="georgia"/>
          <w:b/>
          <w:color w:val="000000"/>
          <w:sz w:val="24"/>
        </w:rPr>
        <w:t xml:space="preserve">5.1. Общая архитектура Системы (требование 5.1)</w:t>
      </w:r>
      <w:bookmarkEnd w:id="7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Система должна иметь модульную многоуровневую архитектуру, включающую:</w:t>
      </w:r>
    </w:p>
    <w:p>
      <w:pPr>
        <w:numPr>
          <w:ilvl w:val="0"/>
          <w:numId w:val="1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Уровень данных.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Хранилище исходных и производных данных.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Механизмы загрузки, валидации, трансформации и версионирования наборов данных.</w:t>
      </w:r>
    </w:p>
    <w:p>
      <w:pPr>
        <w:numPr>
          <w:ilvl w:val="0"/>
          <w:numId w:val="1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Аналитический уровень.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Модуль расчёта индикаторов и аномалий.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Модуль установления связей «аномалии → ЧС».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Модуль расчёта индексов риска.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Модуль сценарного анализа и оценки эффектов адаптации.</w:t>
      </w:r>
      <w:bookmarkStart w:id="76" w:name="fnref2_9"/>
      <w:bookmarkEnd w:id="76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77" w:name="fnref7_7"/>
      <w:bookmarkEnd w:id="77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78" w:name="fnref14_4"/>
      <w:bookmarkEnd w:id="78"/>
      <w:hyperlink w:anchor="fn1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numPr>
          <w:ilvl w:val="0"/>
          <w:numId w:val="1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Прикладной уровень.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Модуль формирования отчётов и отчётных форм ГО и ЧС.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Модуль подготовки рекомендаций по режимам функционирования РСЧС и мероприятиям по стадиям.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API для доступа к аналитическим результатам внешними системами.</w:t>
      </w:r>
      <w:bookmarkStart w:id="79" w:name="fnref12_1"/>
      <w:bookmarkEnd w:id="79"/>
      <w:hyperlink w:anchor="fn1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80" w:name="fnref11_1"/>
      <w:bookmarkEnd w:id="80"/>
      <w:hyperlink w:anchor="fn1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numPr>
          <w:ilvl w:val="0"/>
          <w:numId w:val="1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Уровень представления.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Веб‑интерфейс для аналитиков и оперативных дежурных.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Визуализационные панели.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Средства экспорта отчётов и данных.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Архитектура должна предусматривать возможность раздельной масштабируемости уровня данных и аналитического уровня.</w:t>
      </w:r>
    </w:p>
    <w:p>
      <w:pPr>
        <w:spacing w:line="360" w:before="315" w:after="105" w:lineRule="auto"/>
        <w:ind w:left="-30"/>
        <w:jc w:val="left"/>
      </w:pPr>
      <w:bookmarkStart w:id="81" w:name="bm_5_2_требования_к_программно_ап_7b36da"/>
      <w:r>
        <w:rPr>
          <w:rFonts w:eastAsia="georgia" w:cs="georgia" w:ascii="georgia" w:hAnsi="georgia"/>
          <w:b/>
          <w:color w:val="000000"/>
          <w:sz w:val="24"/>
        </w:rPr>
        <w:t xml:space="preserve">5.2. Требования к программно‑аппаратной платформе (требование 5.2)</w:t>
      </w:r>
      <w:bookmarkEnd w:id="81"/>
    </w:p>
    <w:p>
      <w:pPr>
        <w:numPr>
          <w:ilvl w:val="0"/>
          <w:numId w:val="1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Программная платформа.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Серверная часть Системы должна быть реализована на промышленно применяемых технологиях, поддерживаемых ИТ‑инфраструктурой заказчика.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хранения данных должны использоваться СУБД, обеспечивающие работу с большими объёмами временных и пространственных данных.</w:t>
      </w:r>
    </w:p>
    <w:p>
      <w:pPr>
        <w:numPr>
          <w:ilvl w:val="0"/>
          <w:numId w:val="1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Аппаратные ресурсы.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Требования к вычислительным и дисковым ресурсам определяются на этапе проектирования и уточняются по результатам пилотной эксплуатации.</w:t>
      </w:r>
    </w:p>
    <w:p>
      <w:pPr>
        <w:numPr>
          <w:ilvl w:val="0"/>
          <w:numId w:val="1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Операционные системы и СУБД.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Поддерживаемые ОС и СУБД согласуются с заказчиком и фиксируются в договорной документации.</w:t>
      </w:r>
    </w:p>
    <w:p>
      <w:pPr>
        <w:spacing w:line="360" w:before="315" w:after="105" w:lineRule="auto"/>
        <w:ind w:left="-30"/>
        <w:jc w:val="left"/>
      </w:pPr>
      <w:bookmarkStart w:id="82" w:name="bm_5_3_требования_к_интеграции_с_aa433f"/>
      <w:r>
        <w:rPr>
          <w:rFonts w:eastAsia="georgia" w:cs="georgia" w:ascii="georgia" w:hAnsi="georgia"/>
          <w:b/>
          <w:color w:val="000000"/>
          <w:sz w:val="24"/>
        </w:rPr>
        <w:t xml:space="preserve">5.3. Требования к интеграции с внешними системами (требование 5.3)</w:t>
      </w:r>
      <w:bookmarkEnd w:id="82"/>
    </w:p>
    <w:p>
      <w:pPr>
        <w:numPr>
          <w:ilvl w:val="0"/>
          <w:numId w:val="16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API и форматы обмена.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Система должна предоставлять API и/или регламентированные форматы обмена (CSV, XML, JSON и др.) для взаимодействия с внешними системами мониторинга и ведомственными информационными системами.</w:t>
      </w:r>
      <w:bookmarkStart w:id="83" w:name="fnref13_1"/>
      <w:bookmarkEnd w:id="83"/>
      <w:hyperlink w:anchor="fn1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[13]</w:t>
        </w:r>
      </w:hyperlink>
      <w:bookmarkStart w:id="84" w:name="fnref11_2"/>
      <w:bookmarkEnd w:id="84"/>
      <w:hyperlink w:anchor="fn1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numPr>
          <w:ilvl w:val="0"/>
          <w:numId w:val="16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Синхронизация с ведомственными системами.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Должны быть реализованы процедуры периодического обмена данными о ЧС, силах и средствах и другие механизмы интеграции с системами МЧС и органов ГО и ЧС.</w:t>
      </w:r>
    </w:p>
    <w:p>
      <w:pPr>
        <w:numPr>
          <w:ilvl w:val="0"/>
          <w:numId w:val="16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Этапность интеграции.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Интеграция с внешними системами выполняется поэтапно, начиная с источников климатических, геокриологических и гидрологических данных, затем — с систем учёта ЧС и, при необходимости, с корпоративными системами мониторинга инфраструктуры.</w:t>
      </w:r>
    </w:p>
    <w:p>
      <w:pPr>
        <w:spacing w:line="360" w:before="315" w:after="105" w:lineRule="auto"/>
        <w:ind w:left="-30"/>
        <w:jc w:val="left"/>
      </w:pPr>
      <w:bookmarkStart w:id="85" w:name="bm_5_4_требования_к_производитель_458532"/>
      <w:r>
        <w:rPr>
          <w:rFonts w:eastAsia="georgia" w:cs="georgia" w:ascii="georgia" w:hAnsi="georgia"/>
          <w:b/>
          <w:color w:val="000000"/>
          <w:sz w:val="24"/>
        </w:rPr>
        <w:t xml:space="preserve">5.4. Требования к производительности, масштабируемости и отказоустойчивости (требование 5.4)</w:t>
      </w:r>
      <w:bookmarkEnd w:id="85"/>
    </w:p>
    <w:p>
      <w:pPr>
        <w:numPr>
          <w:ilvl w:val="0"/>
          <w:numId w:val="1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Производительность.</w:t>
      </w:r>
    </w:p>
    <w:p>
      <w:pPr>
        <w:numPr>
          <w:ilvl w:val="1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Система должна обеспечивать выполнение регламентных расчётов индикаторов и аномалий за полный годовой объём данных в сроки, согласованные с заказчиком.</w:t>
      </w:r>
    </w:p>
    <w:p>
      <w:pPr>
        <w:numPr>
          <w:ilvl w:val="1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Среднее время ответа пользовательских интерфейсов на типовые запросы не должно превышать 2–3 секунд при штатной нагрузке.</w:t>
      </w:r>
    </w:p>
    <w:p>
      <w:pPr>
        <w:numPr>
          <w:ilvl w:val="0"/>
          <w:numId w:val="1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Масштабируемость.</w:t>
      </w:r>
    </w:p>
    <w:p>
      <w:pPr>
        <w:numPr>
          <w:ilvl w:val="1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Архитектура должна обеспечивать расширение на новые регионы и увеличение объёмов данных без существенной переработки программного кода.</w:t>
      </w:r>
    </w:p>
    <w:p>
      <w:pPr>
        <w:numPr>
          <w:ilvl w:val="0"/>
          <w:numId w:val="1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Отказоустойчивость и резервирование.</w:t>
      </w:r>
    </w:p>
    <w:p>
      <w:pPr>
        <w:numPr>
          <w:ilvl w:val="1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Должны быть предусмотрены механизмы резервного копирования и восстановления данных.</w:t>
      </w:r>
    </w:p>
    <w:p>
      <w:pPr>
        <w:numPr>
          <w:ilvl w:val="1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критически важных компонентов должны быть предусмотрены решения по отказоустойчивости.</w:t>
      </w:r>
    </w:p>
    <w:p>
      <w:pPr>
        <w:spacing w:line="360" w:before="315" w:after="105" w:lineRule="auto"/>
        <w:ind w:left="-30"/>
        <w:jc w:val="left"/>
      </w:pPr>
      <w:bookmarkStart w:id="86" w:name="bm_5_5_требования_к_информационно_b84d74"/>
      <w:r>
        <w:rPr>
          <w:rFonts w:eastAsia="georgia" w:cs="georgia" w:ascii="georgia" w:hAnsi="georgia"/>
          <w:b/>
          <w:color w:val="000000"/>
          <w:sz w:val="24"/>
        </w:rPr>
        <w:t xml:space="preserve">5.5. Требования к информационной безопасности и защите информации (требование 5.5)</w:t>
      </w:r>
      <w:bookmarkEnd w:id="86"/>
    </w:p>
    <w:p>
      <w:pPr>
        <w:numPr>
          <w:ilvl w:val="0"/>
          <w:numId w:val="18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Разграничение доступа.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Система должна обеспечивать аутентификацию и авторизацию пользователей по ролям, с разграничением прав доступа к функциям и данным.</w:t>
      </w:r>
    </w:p>
    <w:p>
      <w:pPr>
        <w:numPr>
          <w:ilvl w:val="0"/>
          <w:numId w:val="18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Защита каналов связи.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Взаимодействие клиент–сервер и обмен с внешними системами должны осуществляться с использованием защищённых протоколов, принятых в инфраструктуре заказчика.</w:t>
      </w:r>
    </w:p>
    <w:p>
      <w:pPr>
        <w:numPr>
          <w:ilvl w:val="0"/>
          <w:numId w:val="18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Соответствие требованиям.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Требования к защите информации должны соответствовать действующим нормативным актам РФ и ведомственным регламентам в области информационной безопасности.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7" w:name="bm_6_требования_к_составу_и_содер_88c17e"/>
      <w:r>
        <w:rPr>
          <w:rFonts w:eastAsia="georgia" w:cs="georgia" w:ascii="georgia" w:hAnsi="georgia"/>
          <w:b/>
          <w:color w:val="000000"/>
          <w:sz w:val="24"/>
        </w:rPr>
        <w:t xml:space="preserve">6. Требования к составу и содержанию работ</w:t>
      </w:r>
      <w:bookmarkEnd w:id="87"/>
    </w:p>
    <w:p>
      <w:pPr>
        <w:spacing w:line="360" w:before="315" w:after="105" w:lineRule="auto"/>
        <w:ind w:left="-30"/>
        <w:jc w:val="left"/>
      </w:pPr>
      <w:bookmarkStart w:id="88" w:name="bm_6_1_этапы_и_стадии_работ_требо_7cbdc0"/>
      <w:r>
        <w:rPr>
          <w:rFonts w:eastAsia="georgia" w:cs="georgia" w:ascii="georgia" w:hAnsi="georgia"/>
          <w:b/>
          <w:color w:val="000000"/>
          <w:sz w:val="24"/>
        </w:rPr>
        <w:t xml:space="preserve">6.1. Этапы и стадии работ (требование 6.1)</w:t>
      </w:r>
      <w:bookmarkEnd w:id="8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Работы по созданию Системы рекомендуется выполнять в следующие этапы:</w:t>
      </w:r>
    </w:p>
    <w:p>
      <w:pPr>
        <w:numPr>
          <w:ilvl w:val="0"/>
          <w:numId w:val="1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Этап 1. Научно‑исследовательские работы (НИР).</w:t>
      </w:r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Анализ существующей наблюдательной базы и источников данных.</w:t>
      </w:r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Уточнение и адаптация методик расчёта индикаторов и аномалий (климат, ММГ, гидрология).</w:t>
      </w:r>
      <w:bookmarkStart w:id="89" w:name="fnref7_8"/>
      <w:bookmarkEnd w:id="89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90" w:name="fnref2_10"/>
      <w:bookmarkEnd w:id="90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Разработка методики установления связей «аномалии → ЧС» и критериев сценариев «аномальных лет/сезонов».</w:t>
      </w:r>
      <w:bookmarkStart w:id="91" w:name="fnref6_2"/>
      <w:bookmarkEnd w:id="91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92" w:name="fnref9_5"/>
      <w:bookmarkEnd w:id="92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93" w:name="fnref3_7"/>
      <w:bookmarkEnd w:id="93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94" w:name="fnref4_7"/>
      <w:bookmarkEnd w:id="94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Подготовка и согласование настоящего ТЗ.</w:t>
      </w:r>
    </w:p>
    <w:p>
      <w:pPr>
        <w:numPr>
          <w:ilvl w:val="0"/>
          <w:numId w:val="1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Этап 2. Опытно‑конструкторские работы (ОКР).</w:t>
      </w:r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Разработка архитектуры и прототипа Системы.</w:t>
      </w:r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Реализация базовых модулей: загрузка данных, расчёт индикаторов и аномалий, связка «аномалии → ЧС», базовый интерфейс визуализации.</w:t>
      </w:r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Апробация методик на исторических данных пилотного региона, уточнение параметров и алгоритмов.</w:t>
      </w:r>
    </w:p>
    <w:p>
      <w:pPr>
        <w:numPr>
          <w:ilvl w:val="0"/>
          <w:numId w:val="1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Этап 3. Пилотная эксплуатация.</w:t>
      </w:r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Развёртывание Системы в пилотном регионе.</w:t>
      </w:r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Обучение пользователей.</w:t>
      </w:r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Сбор замечаний, корректировка интерфейсов, отчётных форм и алгоритмов.</w:t>
      </w:r>
    </w:p>
    <w:p>
      <w:pPr>
        <w:numPr>
          <w:ilvl w:val="0"/>
          <w:numId w:val="1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Этап 4. Расширение и промышленная эксплуатация.</w:t>
      </w:r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Расширение Системы на дополнительные регионы.</w:t>
      </w:r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Интеграция с ведомственными информационными системами.</w:t>
      </w:r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Формирование регламентов эксплуатации и сопровождения.</w:t>
      </w:r>
    </w:p>
    <w:p>
      <w:pPr>
        <w:spacing w:line="360" w:before="315" w:after="105" w:lineRule="auto"/>
        <w:ind w:left="-30"/>
        <w:jc w:val="left"/>
      </w:pPr>
      <w:bookmarkStart w:id="95" w:name="bm_6_2_работы_по_методическому_и_9a00ad"/>
      <w:r>
        <w:rPr>
          <w:rFonts w:eastAsia="georgia" w:cs="georgia" w:ascii="georgia" w:hAnsi="georgia"/>
          <w:b/>
          <w:color w:val="000000"/>
          <w:sz w:val="24"/>
        </w:rPr>
        <w:t xml:space="preserve">6.2. Работы по методическому и нормативному обеспечению (требование 6.2)</w:t>
      </w:r>
      <w:bookmarkEnd w:id="95"/>
    </w:p>
    <w:p>
      <w:pPr>
        <w:numPr>
          <w:ilvl w:val="0"/>
          <w:numId w:val="20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Формализация сценариев и матриц мероприятий.</w:t>
      </w:r>
    </w:p>
    <w:p>
      <w:pPr>
        <w:numPr>
          <w:ilvl w:val="1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Разработка и согласование перечня сценариев «аномальных лет/сезонов» и матриц мероприятий по стадиям совместно с профильными подразделениями МЧС.</w:t>
      </w:r>
    </w:p>
    <w:p>
      <w:pPr>
        <w:numPr>
          <w:ilvl w:val="0"/>
          <w:numId w:val="20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Увязка с документами ГО и ЧС.</w:t>
      </w:r>
    </w:p>
    <w:p>
      <w:pPr>
        <w:numPr>
          <w:ilvl w:val="1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Определение форм включения выходов Системы в планы действий по предупреждению и ликвидации ЧС и другие регламентируемые документы.</w:t>
      </w:r>
    </w:p>
    <w:p>
      <w:pPr>
        <w:numPr>
          <w:ilvl w:val="0"/>
          <w:numId w:val="20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Документирование методик.</w:t>
      </w:r>
    </w:p>
    <w:p>
      <w:pPr>
        <w:numPr>
          <w:ilvl w:val="1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Подготовка методических приложений с описанием алгоритмов, порогов и допущений.</w:t>
      </w:r>
    </w:p>
    <w:p>
      <w:pPr>
        <w:spacing w:line="360" w:before="315" w:after="105" w:lineRule="auto"/>
        <w:ind w:left="-30"/>
        <w:jc w:val="left"/>
      </w:pPr>
      <w:bookmarkStart w:id="96" w:name="bm_6_3_работы_по_обучению_и_внедр_658d56"/>
      <w:r>
        <w:rPr>
          <w:rFonts w:eastAsia="georgia" w:cs="georgia" w:ascii="georgia" w:hAnsi="georgia"/>
          <w:b/>
          <w:color w:val="000000"/>
          <w:sz w:val="24"/>
        </w:rPr>
        <w:t xml:space="preserve">6.3. Работы по обучению и внедрению (требование 6.3)</w:t>
      </w:r>
      <w:bookmarkEnd w:id="96"/>
    </w:p>
    <w:p>
      <w:pPr>
        <w:numPr>
          <w:ilvl w:val="0"/>
          <w:numId w:val="2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Подготовка обучающих материалов.</w:t>
      </w:r>
    </w:p>
    <w:p>
      <w:pPr>
        <w:numPr>
          <w:ilvl w:val="1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Руководства пользователя, обучающие презентации, примеры типовых сценариев работы.</w:t>
      </w:r>
    </w:p>
    <w:p>
      <w:pPr>
        <w:numPr>
          <w:ilvl w:val="0"/>
          <w:numId w:val="2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Обучение персонала.</w:t>
      </w:r>
    </w:p>
    <w:p>
      <w:pPr>
        <w:numPr>
          <w:ilvl w:val="1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Проведение обучающих мероприятий для пользователей пилотного региона и последующих регионов.</w:t>
      </w:r>
    </w:p>
    <w:p>
      <w:pPr>
        <w:numPr>
          <w:ilvl w:val="0"/>
          <w:numId w:val="2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Поддержка внедрения.</w:t>
      </w:r>
    </w:p>
    <w:p>
      <w:pPr>
        <w:numPr>
          <w:ilvl w:val="1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Организация консультативной поддержки на период пилотной и ранней промышленной эксплуатации.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7" w:name="bm_7_порядок_контроля_испытаний_и_2273f7"/>
      <w:r>
        <w:rPr>
          <w:rFonts w:eastAsia="georgia" w:cs="georgia" w:ascii="georgia" w:hAnsi="georgia"/>
          <w:b/>
          <w:color w:val="000000"/>
          <w:sz w:val="24"/>
        </w:rPr>
        <w:t xml:space="preserve">7. Порядок контроля, испытаний и приёмки</w:t>
      </w:r>
      <w:bookmarkEnd w:id="97"/>
    </w:p>
    <w:p>
      <w:pPr>
        <w:spacing w:line="360" w:before="315" w:after="105" w:lineRule="auto"/>
        <w:ind w:left="-30"/>
        <w:jc w:val="left"/>
      </w:pPr>
      <w:bookmarkStart w:id="98" w:name="bm_7_1_виды_испытаний_требование_7_1"/>
      <w:r>
        <w:rPr>
          <w:rFonts w:eastAsia="georgia" w:cs="georgia" w:ascii="georgia" w:hAnsi="georgia"/>
          <w:b/>
          <w:color w:val="000000"/>
          <w:sz w:val="24"/>
        </w:rPr>
        <w:t xml:space="preserve">7.1. Виды испытаний (требование 7.1)</w:t>
      </w:r>
      <w:bookmarkEnd w:id="98"/>
    </w:p>
    <w:p>
      <w:pPr>
        <w:numPr>
          <w:ilvl w:val="0"/>
          <w:numId w:val="2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Предварительные испытания.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Проверка работоспособности основных модулей Системы на тестовом стенде.</w:t>
      </w:r>
    </w:p>
    <w:p>
      <w:pPr>
        <w:numPr>
          <w:ilvl w:val="0"/>
          <w:numId w:val="2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Опытная эксплуатация (пилотные испытания).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Испытания в условиях реальной эксплуатации в пилотном регионе на исторических и оперативных данных.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Оценка корректности результатов, удобства интерфейсов и интеграции с рабочими процессами.</w:t>
      </w:r>
    </w:p>
    <w:p>
      <w:pPr>
        <w:numPr>
          <w:ilvl w:val="0"/>
          <w:numId w:val="2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Приёмочные испытания.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Проведение комплексных испытаний Системы в соответствии с программой и методикой испытаний, согласованными с заказчиком.</w:t>
      </w:r>
    </w:p>
    <w:p>
      <w:pPr>
        <w:spacing w:line="360" w:before="315" w:after="105" w:lineRule="auto"/>
        <w:ind w:left="-30"/>
        <w:jc w:val="left"/>
      </w:pPr>
      <w:bookmarkStart w:id="99" w:name="bm_7_2_критерии_приёмки_требование_7_2"/>
      <w:r>
        <w:rPr>
          <w:rFonts w:eastAsia="georgia" w:cs="georgia" w:ascii="georgia" w:hAnsi="georgia"/>
          <w:b/>
          <w:color w:val="000000"/>
          <w:sz w:val="24"/>
        </w:rPr>
        <w:t xml:space="preserve">7.2. Критерии приёмки (требование 7.2)</w:t>
      </w:r>
      <w:bookmarkEnd w:id="9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Система может быть принята в промышленную эксплуатацию при выполнении следующих условий:</w:t>
      </w:r>
    </w:p>
    <w:p>
      <w:pPr>
        <w:numPr>
          <w:ilvl w:val="0"/>
          <w:numId w:val="2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Функциональные критерии.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Реализованы все ключевые функции, указанные в разделе 3.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 контрольных исторических данных корректно выявляются известные аномальные периоды и реконструируются связи с фактическими ЧС.</w:t>
      </w:r>
    </w:p>
    <w:p>
      <w:pPr>
        <w:numPr>
          <w:ilvl w:val="0"/>
          <w:numId w:val="2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Критерии пригодности для планирования.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Отчётные формы и сценарные рекомендации признаны профильными подразделениями МЧС пригодными для использования при разработке планов ГО и ЧС (наличие заключения/акта).</w:t>
      </w:r>
    </w:p>
    <w:p>
      <w:pPr>
        <w:numPr>
          <w:ilvl w:val="0"/>
          <w:numId w:val="2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Критерии производительности и устойчивости.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Система выполняет регламентные расчёты и формирует отчёты в согласованные сроки.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Система демонстрирует стабильную работу в течение оговорённого периода пилотной эксплуатации.</w:t>
      </w:r>
    </w:p>
    <w:p>
      <w:pPr>
        <w:numPr>
          <w:ilvl w:val="0"/>
          <w:numId w:val="2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Критерии интеграции.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Система интегрирована с согласованными внешними источниками данных и ведомственными системами на уровне, достаточном для пилотной эксплуатации.</w:t>
      </w:r>
    </w:p>
    <w:p>
      <w:pPr>
        <w:spacing w:line="360" w:before="315" w:after="105" w:lineRule="auto"/>
        <w:ind w:left="-30"/>
        <w:jc w:val="left"/>
      </w:pPr>
      <w:bookmarkStart w:id="100" w:name="bm_7_3_документация_по_результата_b597b3"/>
      <w:r>
        <w:rPr>
          <w:rFonts w:eastAsia="georgia" w:cs="georgia" w:ascii="georgia" w:hAnsi="georgia"/>
          <w:b/>
          <w:color w:val="000000"/>
          <w:sz w:val="24"/>
        </w:rPr>
        <w:t xml:space="preserve">7.3. Документация по результатам испытаний (требование 7.3)</w:t>
      </w:r>
      <w:bookmarkEnd w:id="10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 результатам испытаний должны быть оформлены: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программа и методика испытаний;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протоколы испытаний (предварительных, пилотных, приёмочных);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акт приёмки в промышленную эксплуатацию (при положительном результате).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1" w:name="bm_8_требования_к_эксплуатационно_f9c416"/>
      <w:r>
        <w:rPr>
          <w:rFonts w:eastAsia="georgia" w:cs="georgia" w:ascii="georgia" w:hAnsi="georgia"/>
          <w:b/>
          <w:color w:val="000000"/>
          <w:sz w:val="24"/>
        </w:rPr>
        <w:t xml:space="preserve">8. Требования к эксплуатационной документации</w:t>
      </w:r>
      <w:bookmarkEnd w:id="101"/>
    </w:p>
    <w:p>
      <w:pPr>
        <w:spacing w:line="360" w:before="315" w:after="105" w:lineRule="auto"/>
        <w:ind w:left="-30"/>
        <w:jc w:val="left"/>
      </w:pPr>
      <w:bookmarkStart w:id="102" w:name="bm_8_1_состав_эксплуатационной_до_34815a"/>
      <w:r>
        <w:rPr>
          <w:rFonts w:eastAsia="georgia" w:cs="georgia" w:ascii="georgia" w:hAnsi="georgia"/>
          <w:b/>
          <w:color w:val="000000"/>
          <w:sz w:val="24"/>
        </w:rPr>
        <w:t xml:space="preserve">8.1. Состав эксплуатационной документации (требование 8.1)</w:t>
      </w:r>
      <w:bookmarkEnd w:id="10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 результатам разработки должны быть подготовлены:</w:t>
      </w:r>
    </w:p>
    <w:p>
      <w:pPr>
        <w:numPr>
          <w:ilvl w:val="0"/>
          <w:numId w:val="2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Руководство администратора.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Описание установки, конфигурации, обновления Системы.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Описание настройки источников данных и интеграций.</w:t>
      </w:r>
    </w:p>
    <w:p>
      <w:pPr>
        <w:numPr>
          <w:ilvl w:val="0"/>
          <w:numId w:val="2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Руководство пользователя.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Описание интерфейса и функций для различных ролей.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Пошаговые инструкции по выполнению типовых задач.</w:t>
      </w:r>
    </w:p>
    <w:p>
      <w:pPr>
        <w:numPr>
          <w:ilvl w:val="0"/>
          <w:numId w:val="2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Описание алгоритмов и методик.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Подробное описание используемых алгоритмов расчёта индикаторов, выявления аномалий, связки «аномалии → ЧС», расчёта индексов риска и сценарного анализа, с указанием источников методик.</w:t>
      </w:r>
      <w:bookmarkStart w:id="103" w:name="fnref14_5"/>
      <w:bookmarkEnd w:id="103"/>
      <w:hyperlink w:anchor="fn1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[14]</w:t>
        </w:r>
      </w:hyperlink>
      <w:bookmarkStart w:id="104" w:name="fnref2_11"/>
      <w:bookmarkEnd w:id="104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05" w:name="fnref7_9"/>
      <w:bookmarkEnd w:id="105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2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Описание форматов данных и интеграций.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Описание схем данных, форматов файлов и API, используемых для обмена с внешними системами.</w:t>
      </w:r>
    </w:p>
    <w:p>
      <w:pPr>
        <w:spacing w:line="360" w:before="315" w:after="105" w:lineRule="auto"/>
        <w:ind w:left="-30"/>
        <w:jc w:val="left"/>
      </w:pPr>
      <w:bookmarkStart w:id="106" w:name="bm_8_2_требования_к_оформлению_и_4be625"/>
      <w:r>
        <w:rPr>
          <w:rFonts w:eastAsia="georgia" w:cs="georgia" w:ascii="georgia" w:hAnsi="georgia"/>
          <w:b/>
          <w:color w:val="000000"/>
          <w:sz w:val="24"/>
        </w:rPr>
        <w:t xml:space="preserve">8.2. Требования к оформлению и актуализации документации (требование 8.2)</w:t>
      </w:r>
      <w:bookmarkEnd w:id="106"/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Документация должна быть подготовлена в электронном виде (PDF/HTML, при необходимости DOCX) и, по согласованию, в печатном виде.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Должен быть установлен порядок актуализации документации при внесении изменений в Систему (ведение версий и истории изменений).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7" w:name="bm_9_приложения"/>
      <w:r>
        <w:rPr>
          <w:rFonts w:eastAsia="georgia" w:cs="georgia" w:ascii="georgia" w:hAnsi="georgia"/>
          <w:b/>
          <w:color w:val="000000"/>
          <w:sz w:val="24"/>
        </w:rPr>
        <w:t xml:space="preserve">9. Приложения</w:t>
      </w:r>
      <w:bookmarkEnd w:id="107"/>
    </w:p>
    <w:p>
      <w:pPr>
        <w:spacing w:line="360" w:before="315" w:after="105" w:lineRule="auto"/>
        <w:ind w:left="-30"/>
        <w:jc w:val="left"/>
      </w:pPr>
      <w:bookmarkStart w:id="108" w:name="приложение_1_матрица_сценариев_ан_bf9ebf"/>
      <w:r>
        <w:rPr>
          <w:rFonts w:eastAsia="georgia" w:cs="georgia" w:ascii="georgia" w:hAnsi="georgia"/>
          <w:b/>
          <w:color w:val="000000"/>
          <w:sz w:val="24"/>
        </w:rPr>
        <w:t xml:space="preserve">Приложение 1. Матрица сценариев «аномальный год/сезон → меры по стадиям»</w:t>
      </w:r>
      <w:bookmarkEnd w:id="10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Матрица сценариев должна содержать: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перечень типов «аномальных лет/сезонов» (по комбинациям климатических и геокриологических аномалий);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описание соответствующих им угроз (для ММГ, инфраструктуры, населения);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рекомендуемые мероприятия по стадиям профилактика–готовность–реагирование–восстановление;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ориентировочные уровни ЧС и режимы функционирования РСЧС для каждого сценария.</w:t>
      </w:r>
    </w:p>
    <w:p>
      <w:pPr>
        <w:spacing w:line="360" w:before="315" w:after="105" w:lineRule="auto"/>
        <w:ind w:left="-30"/>
        <w:jc w:val="left"/>
      </w:pPr>
      <w:bookmarkStart w:id="109" w:name="приложение_2_перечень_исходных_да_7c2dd5"/>
      <w:r>
        <w:rPr>
          <w:rFonts w:eastAsia="georgia" w:cs="georgia" w:ascii="georgia" w:hAnsi="georgia"/>
          <w:b/>
          <w:color w:val="000000"/>
          <w:sz w:val="24"/>
        </w:rPr>
        <w:t xml:space="preserve">Приложение 2. Перечень исходных данных и источников</w:t>
      </w:r>
      <w:bookmarkEnd w:id="10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Приложение должно содержать: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перечень типов данных и источников (метеорологические службы, геокриологические станции, CALM‑сети, гидрологические службы, ведомственные статистики ЧС, корпоративные системы мониторинга инфраструктуры и др.);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список ключевых научных и аналитических работ, использованных при разработке методик.</w:t>
      </w:r>
      <w:bookmarkStart w:id="110" w:name="fnref5_2"/>
      <w:bookmarkEnd w:id="110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111" w:name="fnref3_8"/>
      <w:bookmarkEnd w:id="111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12" w:name="fnref4_8"/>
      <w:bookmarkEnd w:id="112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13" w:name="fnref6_3"/>
      <w:bookmarkEnd w:id="113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before="315" w:after="105" w:lineRule="auto"/>
        <w:ind w:left="-30"/>
        <w:jc w:val="left"/>
      </w:pPr>
      <w:bookmarkStart w:id="114" w:name="приложение_3_глоссарий_терминов"/>
      <w:r>
        <w:rPr>
          <w:rFonts w:eastAsia="georgia" w:cs="georgia" w:ascii="georgia" w:hAnsi="georgia"/>
          <w:b/>
          <w:color w:val="000000"/>
          <w:sz w:val="24"/>
        </w:rPr>
        <w:t xml:space="preserve">Приложение 3. Глоссарий терминов</w:t>
      </w:r>
      <w:bookmarkEnd w:id="1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Глоссарий должен содержать определения основных терминов, используемых в ТЗ и Системе, включая, но не ограничиваясь: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многолетнемёрзлые грунты (ММГ);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ALT, MAGST, TTOP, TDD/FDD;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сценарий «аномального года/сезона»;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индекс риска;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уровни ЧС;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режимы функционирования РСЧС;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АСДНР и другие специальные термины.</w:t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15" w:name="fn1"/>
    <w:bookmarkEnd w:id="115"/>
    <w:p>
      <w:pPr>
        <w:numPr>
          <w:ilvl w:val="0"/>
          <w:numId w:val="31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https://www.thebarentsobserver.com/climate-crisis/more-than-60-of-russian-territory-is-permafrost-now-it-is-melting/125562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6" w:name="fn2"/>
    <w:bookmarkEnd w:id="116"/>
    <w:p>
      <w:pPr>
        <w:numPr>
          <w:ilvl w:val="0"/>
          <w:numId w:val="31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https://bioone.org/journals/ambio-a-journal-of-the-human-environment/volume-35/issue-4/0044-7447(2006)35[169:PACCTR]2.0.CO;2/Permafrost-and-Changing-Climate-The-Russian-Perspective/10.1579/0044-7447(2006)35[169:PACCTR]2.0.CO;2.short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7" w:name="fn3"/>
    <w:bookmarkEnd w:id="117"/>
    <w:p>
      <w:pPr>
        <w:numPr>
          <w:ilvl w:val="0"/>
          <w:numId w:val="31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https://pmc.ncbi.nlm.nih.gov/articles/PMC8807372/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8" w:name="fn4"/>
    <w:bookmarkEnd w:id="118"/>
    <w:p>
      <w:pPr>
        <w:numPr>
          <w:ilvl w:val="0"/>
          <w:numId w:val="31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https://www.climatechangepost.com/news/strong-impact-of-warming-permafrost-on-russias-buildings-and-infrastructure/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9" w:name="fn5"/>
    <w:bookmarkEnd w:id="119"/>
    <w:p>
      <w:pPr>
        <w:numPr>
          <w:ilvl w:val="0"/>
          <w:numId w:val="31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https://bellona.org/news/arctic/2021-06-permafrost-melt-caused-by-climate-change-could-cost-russia-billions-environmental-minister-says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0" w:name="fn6"/>
    <w:bookmarkEnd w:id="120"/>
    <w:p>
      <w:pPr>
        <w:numPr>
          <w:ilvl w:val="0"/>
          <w:numId w:val="31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https://pmc.ncbi.nlm.nih.gov/articles/PMC10050325/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1" w:name="fn7"/>
    <w:bookmarkEnd w:id="121"/>
    <w:p>
      <w:pPr>
        <w:numPr>
          <w:ilvl w:val="0"/>
          <w:numId w:val="31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https://www.mdpi.com/2073-4441/12/6/1817/pdf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2" w:name="fn8"/>
    <w:bookmarkEnd w:id="122"/>
    <w:p>
      <w:pPr>
        <w:numPr>
          <w:ilvl w:val="0"/>
          <w:numId w:val="31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https://www.rgs.org/media/yo5dj1e2/poster2thawingpermafrostandrussianarcticinfrastructure.pdf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3" w:name="fn9"/>
    <w:bookmarkEnd w:id="123"/>
    <w:p>
      <w:pPr>
        <w:numPr>
          <w:ilvl w:val="0"/>
          <w:numId w:val="31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https://www.e3s-conferences.org/articles/e3sconf/pdf/2024/28/e3sconf_icape2024_02001.pdf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4" w:name="fn10"/>
    <w:bookmarkEnd w:id="124"/>
    <w:p>
      <w:pPr>
        <w:numPr>
          <w:ilvl w:val="0"/>
          <w:numId w:val="31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https://www.arcus.org/search-program/arctic-answers/permafrost-and-infrastructure/briefs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5" w:name="fn11"/>
    <w:bookmarkEnd w:id="125"/>
    <w:p>
      <w:pPr>
        <w:numPr>
          <w:ilvl w:val="0"/>
          <w:numId w:val="31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https://onlinelibrary.wiley.com/doi/10.1111/anti.70074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6" w:name="fn12"/>
    <w:bookmarkEnd w:id="126"/>
    <w:p>
      <w:pPr>
        <w:numPr>
          <w:ilvl w:val="0"/>
          <w:numId w:val="31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https://www.planetarysecurityinitiative.org/news/permafrost-thaw-puts-russias-arctic-ambitions-risk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7" w:name="fn13"/>
    <w:bookmarkEnd w:id="127"/>
    <w:p>
      <w:pPr>
        <w:numPr>
          <w:ilvl w:val="0"/>
          <w:numId w:val="31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https://theglobalobservatory.org/2021/11/how-permafrost-thaw-puts-the-russian-arctic-at-risk/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8" w:name="fn14"/>
    <w:bookmarkEnd w:id="128"/>
    <w:p>
      <w:pPr>
        <w:numPr>
          <w:ilvl w:val="0"/>
          <w:numId w:val="31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https://globalclimaterisks.org/insights/blog/arctic-permafrost-thaw-impending-infrastructure-crisis/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9" w:name="fn15"/>
    <w:bookmarkEnd w:id="129"/>
    <w:p>
      <w:pPr>
        <w:numPr>
          <w:ilvl w:val="0"/>
          <w:numId w:val="31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https://www.thebarentsobserver.com/climate-crisis/permafrost-might-be-reduced-to-half-by-centurys-end/115249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0">
    <w:multiLevelType w:val="hybridMultilevel"/>
  </w:abstractNum>
  <w:abstractNum w:abstractNumId="3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c559233342244bee3fe87e94be68a1267d348e76.png" TargetMode="Internal"/><Relationship Id="rId6" Type="http://schemas.openxmlformats.org/officeDocument/2006/relationships/hyperlink" Target="https://www.thebarentsobserver.com/climate-crisis/more-than-60-of-russian-territory-is-permafrost-now-it-is-melting/125562" TargetMode="External"/><Relationship Id="rId7" Type="http://schemas.openxmlformats.org/officeDocument/2006/relationships/hyperlink" Target="https://bioone.org/journals/ambio-a-journal-of-the-human-environment/volume-35/issue-4/0044-7447(2006)35%5B169:PACCTR%5D2.0.CO;2/Permafrost-and-Changing-Climate-The-Russian-Perspective/10.1579/0044-7447(2006)35%5B169:PACCTR%5D2.0.CO;2.short" TargetMode="External"/><Relationship Id="rId8" Type="http://schemas.openxmlformats.org/officeDocument/2006/relationships/hyperlink" Target="https://pmc.ncbi.nlm.nih.gov/articles/PMC8807372/" TargetMode="External"/><Relationship Id="rId9" Type="http://schemas.openxmlformats.org/officeDocument/2006/relationships/hyperlink" Target="https://www.climatechangepost.com/news/strong-impact-of-warming-permafrost-on-russias-buildings-and-infrastructure/" TargetMode="External"/><Relationship Id="rId10" Type="http://schemas.openxmlformats.org/officeDocument/2006/relationships/hyperlink" Target="https://bellona.org/news/arctic/2021-06-permafrost-melt-caused-by-climate-change-could-cost-russia-billions-environmental-minister-says" TargetMode="External"/><Relationship Id="rId11" Type="http://schemas.openxmlformats.org/officeDocument/2006/relationships/hyperlink" Target="https://pmc.ncbi.nlm.nih.gov/articles/PMC10050325/" TargetMode="External"/><Relationship Id="rId12" Type="http://schemas.openxmlformats.org/officeDocument/2006/relationships/hyperlink" Target="https://www.mdpi.com/2073-4441/12/6/1817/pdf" TargetMode="External"/><Relationship Id="rId13" Type="http://schemas.openxmlformats.org/officeDocument/2006/relationships/hyperlink" Target="https://www.rgs.org/media/yo5dj1e2/poster2thawingpermafrostandrussianarcticinfrastructure.pdf" TargetMode="External"/><Relationship Id="rId14" Type="http://schemas.openxmlformats.org/officeDocument/2006/relationships/hyperlink" Target="https://www.e3s-conferences.org/articles/e3sconf/pdf/2024/28/e3sconf_icape2024_02001.pdf" TargetMode="External"/><Relationship Id="rId15" Type="http://schemas.openxmlformats.org/officeDocument/2006/relationships/hyperlink" Target="https://www.arcus.org/search-program/arctic-answers/permafrost-and-infrastructure/briefs" TargetMode="External"/><Relationship Id="rId16" Type="http://schemas.openxmlformats.org/officeDocument/2006/relationships/hyperlink" Target="https://onlinelibrary.wiley.com/doi/10.1111/anti.70074" TargetMode="External"/><Relationship Id="rId17" Type="http://schemas.openxmlformats.org/officeDocument/2006/relationships/hyperlink" Target="https://www.planetarysecurityinitiative.org/news/permafrost-thaw-puts-russias-arctic-ambitions-risk" TargetMode="External"/><Relationship Id="rId18" Type="http://schemas.openxmlformats.org/officeDocument/2006/relationships/hyperlink" Target="https://theglobalobservatory.org/2021/11/how-permafrost-thaw-puts-the-russian-arctic-at-risk/" TargetMode="External"/><Relationship Id="rId19" Type="http://schemas.openxmlformats.org/officeDocument/2006/relationships/hyperlink" Target="https://globalclimaterisks.org/insights/blog/arctic-permafrost-thaw-impending-infrastructure-crisis/" TargetMode="External"/><Relationship Id="rId20" Type="http://schemas.openxmlformats.org/officeDocument/2006/relationships/hyperlink" Target="https://www.thebarentsobserver.com/climate-crisis/permafrost-might-be-reduced-to-half-by-centurys-end/115249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2026-05-19T13:16:32.893Z</dcterms:created>
  <dcterms:modified xsi:type="dcterms:W3CDTF">2026-05-19T13:16:32.893Z</dcterms:modified>
</cp:coreProperties>
</file>