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1c256203d91e9ec68bb4a0e562004d34878c10e.png"/>
            <a:graphic>
              <a:graphicData uri="http://schemas.openxmlformats.org/drawingml/2006/picture">
                <pic:pic>
                  <pic:nvPicPr>
                    <pic:cNvPr id="1" name="image-c1c256203d91e9ec68bb4a0e562004d34878c10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авайте_начнём_с_презентации"/>
      <w:r>
        <w:rPr>
          <w:rFonts w:eastAsia="georgia" w:cs="georgia" w:ascii="georgia" w:hAnsi="georgia"/>
          <w:b/>
          <w:color w:val="000000"/>
          <w:sz w:val="39"/>
        </w:rPr>
        <w:t xml:space="preserve">давайте начнём с презентации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Сделаем. Ниже — каркас презентации (10–12 слайдов) с уже прописанными тезисами и цифрами. Вы можете прямо перенести это в PowerPoint/Keynote и дополнить фирменным стилем.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слайд_1_заголовок_и_сверхцель"/>
      <w:r>
        <w:rPr>
          <w:rFonts w:eastAsia="georgia" w:cs="georgia" w:ascii="georgia" w:hAnsi="georgia"/>
          <w:b/>
          <w:color w:val="000000"/>
          <w:sz w:val="24"/>
        </w:rPr>
        <w:t xml:space="preserve">Слайд 1. Заголовок и сверхцель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Тема: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КЛИМАТИЧЕСКАЯ АНОМАЛИЯ → ДЕГРАДАЦИЯ ММГ → ЧС → нужна реакция МЧС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Сверхцель: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Создание информационно‑аналитической системы, помогающей планировать силы и средства МЧС для минимизации материального ущерба и числа жертв от ЧС, связанных с деградацией многолетнемёрзлых грунтов.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слайд_2_почему_это_важно_для_россии"/>
      <w:r>
        <w:rPr>
          <w:rFonts w:eastAsia="georgia" w:cs="georgia" w:ascii="georgia" w:hAnsi="georgia"/>
          <w:b/>
          <w:color w:val="000000"/>
          <w:sz w:val="24"/>
        </w:rPr>
        <w:t xml:space="preserve">Слайд 2. Почему это важно для России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Около 65% территории России покрыто многолетнемёрзлыми грунтами; значительная часть инфраструктуры Арктики и Севера стоит на ММГ.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Потепление в Сибири и Арктике уже сегодня превышает глобальное, местами весенние температуры на 8–10 °C выше нормы, что ускоряет деградацию мерзлоты.</w:t>
      </w:r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Цена вопроса — десятки и сотни миллиардов рублей на ремонт и модернизацию зданий, дорог и объектов ТЭК, с риском для населения.</w:t>
      </w:r>
      <w:bookmarkStart w:id="5" w:name="fnref2"/>
      <w:bookmarkEnd w:id="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6" w:name="fnref3"/>
      <w:bookmarkEnd w:id="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слайд_3_мерзлота_и_инфраструктура_c81db2"/>
      <w:r>
        <w:rPr>
          <w:rFonts w:eastAsia="georgia" w:cs="georgia" w:ascii="georgia" w:hAnsi="georgia"/>
          <w:b/>
          <w:color w:val="000000"/>
          <w:sz w:val="24"/>
        </w:rPr>
        <w:t xml:space="preserve">Слайд 3. Мерзлота и инфраструктура: системный риск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Таяние/прогрев ММГ ведёт к просадке и потере несущей способности грунтов, деформациям фундаментов, опор трубопроводов и резервуаров.</w:t>
      </w:r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9" w:name="fnref5"/>
      <w:bookmarkEnd w:id="9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Исследования для российского Севера показывают: к середине века возможна массовая деградация оснований объектов здравоохранения и социальной инфраструктуры с ожидаемым ущербом до 219 млрд руб (сценарий максимального риска).</w:t>
      </w:r>
      <w:bookmarkStart w:id="10" w:name="fnref2_1"/>
      <w:bookmarkEnd w:id="1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Международные обзоры оценивают десятки тысяч промышленных площадок в зоне ММГ как потенциальные источники загрязнений при оттаивании.</w:t>
      </w:r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слайд_4_норильск_2020_как_пример_цепочки"/>
      <w:r>
        <w:rPr>
          <w:rFonts w:eastAsia="georgia" w:cs="georgia" w:ascii="georgia" w:hAnsi="georgia"/>
          <w:b/>
          <w:color w:val="000000"/>
          <w:sz w:val="24"/>
        </w:rPr>
        <w:t xml:space="preserve">Слайд 4. Норильск‑2020 как пример «цепочки»</w:t>
      </w:r>
      <w:bookmarkEnd w:id="12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мае 2020 г. на ТЭЦ‑3 под Норильском разрушился резервуар с дизельным топливом, в окружающую среду попало свыше 20 тыс. тонн топлива; был введён режим ЧС федерального уровня.</w:t>
      </w:r>
      <w:bookmarkStart w:id="13" w:name="fnref7"/>
      <w:bookmarkEnd w:id="13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4" w:name="fnref8"/>
      <w:bookmarkEnd w:id="14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5" w:name="fnref9"/>
      <w:bookmarkEnd w:id="15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Предварительные оценки связывали аварию с просадкой опор из‑за оттаивания мерзлоты и аномально тёплой зимы; параллельно выявлены и технические/организационные нарушения.</w:t>
      </w:r>
      <w:bookmarkStart w:id="16" w:name="fnref8_1"/>
      <w:bookmarkEnd w:id="1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7" w:name="fnref10"/>
      <w:bookmarkEnd w:id="17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8" w:name="fnref7_1"/>
      <w:bookmarkEnd w:id="1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Итог: многолетняя ликвидация, ущерб окружающей среде на сотни млрд руб, колоссальная нагрузка на МЧС и другие службы.</w:t>
      </w:r>
      <w:bookmarkStart w:id="19" w:name="fnref11"/>
      <w:bookmarkEnd w:id="19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0" w:name="fnref9_1"/>
      <w:bookmarkEnd w:id="2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слайд_5_концептуальная_цепочка_угроз"/>
      <w:r>
        <w:rPr>
          <w:rFonts w:eastAsia="georgia" w:cs="georgia" w:ascii="georgia" w:hAnsi="georgia"/>
          <w:b/>
          <w:color w:val="000000"/>
          <w:sz w:val="24"/>
        </w:rPr>
        <w:t xml:space="preserve">Слайд 5. Концептуальная цепочка угроз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Визуальная схема (блок‑диаграмма):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Климатические аномалии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экстремально тёплые зимы, жаркие лета, аномальные осадки, частые переходы через ноль.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Деградация ММГ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температуры грунта, увеличение глубины оттаивания, термокарст, просадка оснований.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Инфраструктурные эффекты → ЧС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деформации зданий и сетей, аварии на резервуарах и трубопроводах, разливы, паводковые ЧС.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Нагрузка на МЧС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рост числа и тяжести ЧС в Арктике/Севере, усложнение ликвидации в труднодоступных районах.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слайд_6_где_мы_уже_видим_элементы_ad3683"/>
      <w:r>
        <w:rPr>
          <w:rFonts w:eastAsia="georgia" w:cs="georgia" w:ascii="georgia" w:hAnsi="georgia"/>
          <w:b/>
          <w:color w:val="000000"/>
          <w:sz w:val="24"/>
        </w:rPr>
        <w:t xml:space="preserve">Слайд 6. Где мы уже видим элементы цепочки</w:t>
      </w:r>
      <w:bookmarkEnd w:id="22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Научные работы подтверждают рост климатических рисков и уязвимость инфраструктуры Арктики (строения, дороги, промышленность).</w:t>
      </w:r>
      <w:bookmarkStart w:id="23" w:name="fnref5_1"/>
      <w:bookmarkEnd w:id="2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24" w:name="fnref12"/>
      <w:bookmarkEnd w:id="24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25" w:name="fnref4_1"/>
      <w:bookmarkEnd w:id="2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Оценки показывают, что без адаптационных мер деградация ММГ может стоить российской экономике миллиарды долларов только по одному сектору (здравоохранение), не считая ТЭК и ЖКХ.</w:t>
      </w:r>
      <w:bookmarkStart w:id="26" w:name="fnref3_1"/>
      <w:bookmarkEnd w:id="2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7" w:name="fnref2_2"/>
      <w:bookmarkEnd w:id="2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Реальные аварии (Норильск‑2020 и др.) показывают, что сочетание климатических аномалий и стареющей инфраструктуры на ММГ уже реализуется в виде крупных ЧС.</w:t>
      </w:r>
      <w:bookmarkStart w:id="28" w:name="fnref13"/>
      <w:bookmarkEnd w:id="28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29" w:name="fnref9_2"/>
      <w:bookmarkEnd w:id="29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0" w:name="fnref8_2"/>
      <w:bookmarkEnd w:id="3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слайд_7_потребности_мчс_и_рсчс"/>
      <w:r>
        <w:rPr>
          <w:rFonts w:eastAsia="georgia" w:cs="georgia" w:ascii="georgia" w:hAnsi="georgia"/>
          <w:b/>
          <w:color w:val="000000"/>
          <w:sz w:val="24"/>
        </w:rPr>
        <w:t xml:space="preserve">Слайд 7. Потребности МЧС и РСЧС</w:t>
      </w:r>
      <w:bookmarkEnd w:id="3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Не хватает инструмента, который связал бы </w:t>
      </w:r>
      <w:r>
        <w:rPr>
          <w:rFonts w:eastAsia="georgia" w:cs="georgia" w:ascii="georgia" w:hAnsi="georgia"/>
          <w:b/>
          <w:color w:val="000000"/>
          <w:sz w:val="21"/>
        </w:rPr>
        <w:t xml:space="preserve">климат, ММГ, инфраструктуру и ЧС</w:t>
      </w:r>
      <w:r>
        <w:rPr>
          <w:rFonts w:eastAsia="georgia" w:cs="georgia" w:ascii="georgia" w:hAnsi="georgia"/>
          <w:color w:val="000000"/>
          <w:sz w:val="21"/>
        </w:rPr>
        <w:t xml:space="preserve"> в единую аналитическую картину.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планировании сейчас учитываются прогнозы паводков, пожаров, общие климатические тренды, но </w:t>
      </w:r>
      <w:r>
        <w:rPr>
          <w:rFonts w:eastAsia="georgia" w:cs="georgia" w:ascii="georgia" w:hAnsi="georgia"/>
          <w:b/>
          <w:color w:val="000000"/>
          <w:sz w:val="21"/>
        </w:rPr>
        <w:t xml:space="preserve">нет специализированного блока по рискам ММГ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перехода к риск‑ориентированному подходу в Арктике и Севере нужно: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видеть «аномальные годы/сезоны» и их пространственное распределение;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понимать, где деградация ММГ создаёт угрозу инфраструктуре;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заранее планировать силы и средства по уровням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слайд_8_предлагаемое_решение_видение"/>
      <w:r>
        <w:rPr>
          <w:rFonts w:eastAsia="georgia" w:cs="georgia" w:ascii="georgia" w:hAnsi="georgia"/>
          <w:b/>
          <w:color w:val="000000"/>
          <w:sz w:val="24"/>
        </w:rPr>
        <w:t xml:space="preserve">Слайд 8. Предлагаемое решение (видение)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Информационно‑аналитическое веб‑приложение</w:t>
      </w:r>
      <w:r>
        <w:rPr>
          <w:rFonts w:eastAsia="georgia" w:cs="georgia" w:ascii="georgia" w:hAnsi="georgia"/>
          <w:color w:val="000000"/>
        </w:rPr>
        <w:t xml:space="preserve">, которое: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Интегрирует: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климатические ряды (температура, осадки, снег);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данные по ММГ (тенденции температуры грунта, ALT, термокарст — по мере доступности);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гидролого‑паводковую информацию;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базу ЧС (паводки, заторы, техногенные аварии).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Выделяет: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суточные, месячные и годовые аномалии;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связи «аномалии → ЧС» в разных временных окнах;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типы «аномальных лет» для регионов/муниципалитетов.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Выдаёт: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сценарии развития обстановки;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рекомендованный уровень готовности РСЧС/МЧС;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матрицу мер по стадиям (профилактика, готовность, реагирование, восстановление).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3" w:name="слайд_9_что_у_нас_уже_есть_как_ба_63fb24"/>
      <w:r>
        <w:rPr>
          <w:rFonts w:eastAsia="georgia" w:cs="georgia" w:ascii="georgia" w:hAnsi="georgia"/>
          <w:b/>
          <w:color w:val="000000"/>
          <w:sz w:val="24"/>
        </w:rPr>
        <w:t xml:space="preserve">Слайд 9. Что у нас уже есть как базис (permafrost_analysis)</w:t>
      </w:r>
      <w:bookmarkEnd w:id="33"/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Разработан и отлажен расчётный конвейер (ноутбук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permafrost_analysis</w:t>
      </w:r>
      <w:r>
        <w:rPr>
          <w:rFonts w:eastAsia="georgia" w:cs="georgia" w:ascii="georgia" w:hAnsi="georgia"/>
          <w:color w:val="000000"/>
          <w:sz w:val="21"/>
        </w:rPr>
        <w:t xml:space="preserve">):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парсинг метео‑, снеговых, гидрологических данных и данных ММГ;</w:t>
      </w:r>
      <w:bookmarkStart w:id="34" w:name="fnref14"/>
      <w:bookmarkEnd w:id="34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расчёт ключевых индикаторов (TDD/FDD, осадки, снег, MAGST/TTOP, ALT, паводковые характеристики);</w:t>
      </w:r>
      <w:bookmarkStart w:id="35" w:name="fnref14_1"/>
      <w:bookmarkEnd w:id="35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выявление аномалий (суточных, месячных, годовых) и подсчёт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  <w:bookmarkStart w:id="36" w:name="fnref14_2"/>
      <w:bookmarkEnd w:id="36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связка аномалий с паводковыми ЧС по лагам.</w:t>
      </w:r>
      <w:bookmarkStart w:id="37" w:name="fnref14_3"/>
      <w:bookmarkEnd w:id="37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Это — готовая научно‑методическая основа для «железной» части приложения, остаётся: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упаковать в сервис;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расширить блоками по ММГ и инфраструктурным авариям;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добавить модуль планирования сил МЧС.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8" w:name="слайд_10_ожидаемый_эффект_для_мчс"/>
      <w:r>
        <w:rPr>
          <w:rFonts w:eastAsia="georgia" w:cs="georgia" w:ascii="georgia" w:hAnsi="georgia"/>
          <w:b/>
          <w:color w:val="000000"/>
          <w:sz w:val="24"/>
        </w:rPr>
        <w:t xml:space="preserve">Слайд 10. Ожидаемый эффект для МЧС</w:t>
      </w:r>
      <w:bookmarkEnd w:id="38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Раннее предупреждение:</w:t>
      </w:r>
      <w:r>
        <w:rPr>
          <w:rFonts w:eastAsia="georgia" w:cs="georgia" w:ascii="georgia" w:hAnsi="georgia"/>
          <w:color w:val="000000"/>
          <w:sz w:val="21"/>
        </w:rPr>
        <w:t xml:space="preserve"> выявление «опасных» лет/сезонов с точки зрения деградации ММГ и паводков на горизонте недель–месяцев.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Лучшее распределение ресурсов:</w:t>
      </w:r>
      <w:r>
        <w:rPr>
          <w:rFonts w:eastAsia="georgia" w:cs="georgia" w:ascii="georgia" w:hAnsi="georgia"/>
          <w:color w:val="000000"/>
          <w:sz w:val="21"/>
        </w:rPr>
        <w:t xml:space="preserve"> приоритизация обследований, ремонтных программ и учений по зонам повышенного риска.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Снижение ущерба:</w:t>
      </w:r>
      <w:r>
        <w:rPr>
          <w:rFonts w:eastAsia="georgia" w:cs="georgia" w:ascii="georgia" w:hAnsi="georgia"/>
          <w:color w:val="000000"/>
          <w:sz w:val="21"/>
        </w:rPr>
        <w:t xml:space="preserve"> уменьшение вероятности крупных ЧС (разливы, разрушения) и более быстрое реагирование при их наступлении.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планирования:</w:t>
      </w:r>
      <w:r>
        <w:rPr>
          <w:rFonts w:eastAsia="georgia" w:cs="georgia" w:ascii="georgia" w:hAnsi="georgia"/>
          <w:color w:val="000000"/>
          <w:sz w:val="21"/>
        </w:rPr>
        <w:t xml:space="preserve"> готовые отчёты и сценарные рекомендации для включения в региональные и муниципальные планы ГО и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слайд_11_предлагаемый_план_дальне_923a66"/>
      <w:r>
        <w:rPr>
          <w:rFonts w:eastAsia="georgia" w:cs="georgia" w:ascii="georgia" w:hAnsi="georgia"/>
          <w:b/>
          <w:color w:val="000000"/>
          <w:sz w:val="24"/>
        </w:rPr>
        <w:t xml:space="preserve">Слайд 11. Предлагаемый план дальнейших шагов</w:t>
      </w:r>
      <w:bookmarkEnd w:id="39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Утвердить идею и рамки проекта (внутриведомственно).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Подготовить краткий обзор источников (научные и ведомственные оценки рисков ММГ).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Сформировать проект технического задания на веб‑приложение.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 согласования — разработка и пилотная эксплуатация в одном–двух регионах.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слайд_12_формулировка_запроса_к_р_9eeaf2"/>
      <w:r>
        <w:rPr>
          <w:rFonts w:eastAsia="georgia" w:cs="georgia" w:ascii="georgia" w:hAnsi="georgia"/>
          <w:b/>
          <w:color w:val="000000"/>
          <w:sz w:val="24"/>
        </w:rPr>
        <w:t xml:space="preserve">Слайд 12. Формулировка запроса к руководству</w:t>
      </w:r>
      <w:bookmarkEnd w:id="40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Поддержать инициативу разработки информационно‑аналитической системы по цепочке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«КЛИМАТИЧЕСКАЯ АНОМАЛИЯ → ДЕГРАДАЦИЯ ММГ → ЧС → нужна реакция МЧС».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Определить: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кураторов от профильных подразделений МЧС/ГОЧС;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пилотный регион (например, Республика Саха (Якутия) или Красноярский край);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 проекта (НИР/ОКР/пилот).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хотите, следующим шагом могу: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либо выписать это же в формате «скрипта докладчика» к каждому слайду,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либо помочь сразу перейти ко второму продукту — структуре обзора источников, на который вы сослались (Space permafrost и внешняя литература).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1" w:name="fn1"/>
    <w:bookmarkEnd w:id="41"/>
    <w:p>
      <w:pPr>
        <w:numPr>
          <w:ilvl w:val="0"/>
          <w:numId w:val="1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https://www.rferl.org/a/russian-fuel-disaster-caused-by-permafrost-melting/30655856.html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2"/>
    <w:bookmarkEnd w:id="42"/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" w:name="fn3"/>
    <w:bookmarkEnd w:id="43"/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" w:name="fn4"/>
    <w:bookmarkEnd w:id="44"/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" w:name="fn5"/>
    <w:bookmarkEnd w:id="45"/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" w:name="fn6"/>
    <w:bookmarkEnd w:id="46"/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" w:name="fn7"/>
    <w:bookmarkEnd w:id="47"/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https://www.cbsnews.com/news/state-of-emergency-massive-oil-leak-arctic-circle-2020-06-04/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" w:name="fn8"/>
    <w:bookmarkEnd w:id="48"/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https://phys.org/news/2020-06-russia-arctic-fuel.html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" w:name="fn9"/>
    <w:bookmarkEnd w:id="49"/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https://en.wikipedia.org/wiki/Norilsk_oil_spill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" w:name="fn10"/>
    <w:bookmarkEnd w:id="50"/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https://www.reuters.com/business/environment/technical-issues-not-permafrost-blame-fuel-spill-russian-arctic-watchdog-2020-11-10/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" w:name="fn11"/>
    <w:bookmarkEnd w:id="51"/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https://www.rferl.org/a/russia-norilsk-oil-spill-state-emergency-lifted-krasnoyarsk/31320583.html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2" w:name="fn12"/>
    <w:bookmarkEnd w:id="52"/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3" w:name="fn13"/>
    <w:bookmarkEnd w:id="53"/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https://pmc.ncbi.nlm.nih.gov/articles/PMC7884439/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4" w:name="fn14"/>
    <w:bookmarkEnd w:id="54"/>
    <w:p>
      <w:pPr>
        <w:numPr>
          <w:ilvl w:val="0"/>
          <w:numId w:val="1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permafrost_analysis.ipynb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5" w:name="fn15"/>
    <w:bookmarkEnd w:id="55"/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6" w:name="fn16"/>
    <w:bookmarkEnd w:id="56"/>
    <w:p>
      <w:pPr>
        <w:numPr>
          <w:ilvl w:val="0"/>
          <w:numId w:val="1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https://keninstitute.com/norilsk-diesel-oil-spill-russia-worlds-largst-arctic-oil-spill/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7" w:name="fn17"/>
    <w:bookmarkEnd w:id="57"/>
    <w:p>
      <w:pPr>
        <w:numPr>
          <w:ilvl w:val="0"/>
          <w:numId w:val="14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https://www.npr.org/2020/06/04/869936256/russian-power-plant-spills-thousands-of-tons-of-oil-into-arctic-region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8" w:name="fn18"/>
    <w:bookmarkEnd w:id="58"/>
    <w:p>
      <w:pPr>
        <w:numPr>
          <w:ilvl w:val="0"/>
          <w:numId w:val="14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https://www.arctictoday.com/the-massive-norilsk-fuel-spill-could-be-linked-to-permafrost-thaw-a-growing-threat-to-arctic-infrastructure/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9" w:name="fn19"/>
    <w:bookmarkEnd w:id="59"/>
    <w:p>
      <w:pPr>
        <w:numPr>
          <w:ilvl w:val="0"/>
          <w:numId w:val="14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https://bellona.org/news/arctic/2020-11-russias-technical-agency-says-melting-permafrost-did-not-cause-summer-oil-spill-in-arctic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1c256203d91e9ec68bb4a0e562004d34878c10e.png" TargetMode="Internal"/><Relationship Id="rId6" Type="http://schemas.openxmlformats.org/officeDocument/2006/relationships/hyperlink" Target="https://www.rferl.org/a/russian-fuel-disaster-caused-by-permafrost-melting/30655856.html" TargetMode="External"/><Relationship Id="rId7" Type="http://schemas.openxmlformats.org/officeDocument/2006/relationships/hyperlink" Target="https://pmc.ncbi.nlm.nih.gov/articles/PMC8807372/" TargetMode="External"/><Relationship Id="rId8" Type="http://schemas.openxmlformats.org/officeDocument/2006/relationships/hyperlink" Target="https://bellona.org/news/arctic/2021-06-permafrost-melt-caused-by-climate-change-could-cost-russia-billions-environmental-minister-says" TargetMode="External"/><Relationship Id="rId9" Type="http://schemas.openxmlformats.org/officeDocument/2006/relationships/hyperlink" Target="https://www.climatechangepost.com/news/strong-impact-of-warming-permafrost-on-russias-buildings-and-infrastructure/" TargetMode="External"/><Relationship Id="rId10" Type="http://schemas.openxmlformats.org/officeDocument/2006/relationships/hyperlink" Target="https://www.arcus.org/search-program/arctic-answers/permafrost-and-infrastructure/briefs" TargetMode="External"/><Relationship Id="rId11" Type="http://schemas.openxmlformats.org/officeDocument/2006/relationships/hyperlink" Target="https://pmc.ncbi.nlm.nih.gov/articles/PMC10050325/" TargetMode="External"/><Relationship Id="rId12" Type="http://schemas.openxmlformats.org/officeDocument/2006/relationships/hyperlink" Target="https://www.cbsnews.com/news/state-of-emergency-massive-oil-leak-arctic-circle-2020-06-04/" TargetMode="External"/><Relationship Id="rId13" Type="http://schemas.openxmlformats.org/officeDocument/2006/relationships/hyperlink" Target="https://phys.org/news/2020-06-russia-arctic-fuel.html" TargetMode="External"/><Relationship Id="rId14" Type="http://schemas.openxmlformats.org/officeDocument/2006/relationships/hyperlink" Target="https://en.wikipedia.org/wiki/Norilsk_oil_spill" TargetMode="External"/><Relationship Id="rId15" Type="http://schemas.openxmlformats.org/officeDocument/2006/relationships/hyperlink" Target="https://www.reuters.com/business/environment/technical-issues-not-permafrost-blame-fuel-spill-russian-arctic-watchdog-2020-11-10/" TargetMode="External"/><Relationship Id="rId16" Type="http://schemas.openxmlformats.org/officeDocument/2006/relationships/hyperlink" Target="https://www.rferl.org/a/russia-norilsk-oil-spill-state-emergency-lifted-krasnoyarsk/31320583.html" TargetMode="External"/><Relationship Id="rId17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18" Type="http://schemas.openxmlformats.org/officeDocument/2006/relationships/hyperlink" Target="https://pmc.ncbi.nlm.nih.gov/articles/PMC7884439/" TargetMode="External"/><Relationship Id="rId19" Type="http://schemas.openxmlformats.org/officeDocument/2006/relationships/hyperlink" Target="https://www.mdpi.com/2073-4441/12/6/1817/pdf" TargetMode="External"/><Relationship Id="rId20" Type="http://schemas.openxmlformats.org/officeDocument/2006/relationships/hyperlink" Target="https://keninstitute.com/norilsk-diesel-oil-spill-russia-worlds-largst-arctic-oil-spill/" TargetMode="External"/><Relationship Id="rId21" Type="http://schemas.openxmlformats.org/officeDocument/2006/relationships/hyperlink" Target="https://www.npr.org/2020/06/04/869936256/russian-power-plant-spills-thousands-of-tons-of-oil-into-arctic-region" TargetMode="External"/><Relationship Id="rId22" Type="http://schemas.openxmlformats.org/officeDocument/2006/relationships/hyperlink" Target="https://www.arctictoday.com/the-massive-norilsk-fuel-spill-could-be-linked-to-permafrost-thaw-a-growing-threat-to-arctic-infrastructure/" TargetMode="External"/><Relationship Id="rId23" Type="http://schemas.openxmlformats.org/officeDocument/2006/relationships/hyperlink" Target="https://bellona.org/news/arctic/2020-11-russias-technical-agency-says-melting-permafrost-did-not-cause-summer-oil-spill-in-arctic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2026-05-19T12:48:39.079Z</dcterms:created>
  <dcterms:modified xsi:type="dcterms:W3CDTF">2026-05-19T12:48:39.079Z</dcterms:modified>
</cp:coreProperties>
</file>