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eoclarity"/>
    <w:p>
      <w:pPr>
        <w:pStyle w:val="Heading1"/>
      </w:pPr>
      <w:r>
        <w:t xml:space="preserve">NeoClarity</w:t>
      </w:r>
    </w:p>
    <w:bookmarkStart w:id="21" w:name="product-brief"/>
    <w:p>
      <w:pPr>
        <w:pStyle w:val="Heading2"/>
      </w:pPr>
      <w:r>
        <w:t xml:space="preserve">Product Brief</w:t>
      </w:r>
    </w:p>
    <w:bookmarkStart w:id="20" w:name="version-1.0"/>
    <w:p>
      <w:pPr>
        <w:pStyle w:val="Heading3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NeoClarity is an AI-powered Financial Resilience Platform that helps consumers transform fragmented financial data into clear, prioritized actions that improve financial wellbeing.</w:t>
      </w:r>
    </w:p>
    <w:p>
      <w:pPr>
        <w:pStyle w:val="BodyText"/>
      </w:pPr>
      <w:r>
        <w:t xml:space="preserve">The platform combines Open Banking, Household Digital Twin technology, Graph Intelligence, and Supervised AI Agents to provide personalized financial guidance focused on measurable outcomes rather than passive reporting.</w:t>
      </w:r>
    </w:p>
    <w:p>
      <w:pPr>
        <w:pStyle w:val="BodyText"/>
      </w:pPr>
      <w:r>
        <w:t xml:space="preserve">NeoClarity enables customers to understand their current financial health, identify meaningful financial events, track progress toward goals, and receive explainable recommendations that improve financial resilience over time.</w:t>
      </w:r>
    </w:p>
    <w:p>
      <w:pPr>
        <w:pStyle w:val="BodyText"/>
      </w:pPr>
      <w:r>
        <w:t xml:space="preserve">Unlike traditional budgeting applications, NeoClarity focuses on helping customers decide what to do next rather than simply explaining what has already happened.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problem"/>
    <w:p>
      <w:pPr>
        <w:pStyle w:val="Heading1"/>
      </w:pPr>
      <w:r>
        <w:t xml:space="preserve">Business Problem</w:t>
      </w:r>
    </w:p>
    <w:p>
      <w:pPr>
        <w:pStyle w:val="FirstParagraph"/>
      </w:pPr>
      <w:r>
        <w:t xml:space="preserve">Consumers today have access to more financial information than ever before.</w:t>
      </w:r>
    </w:p>
    <w:p>
      <w:pPr>
        <w:pStyle w:val="BodyText"/>
      </w:pPr>
      <w:r>
        <w:t xml:space="preserve">Despite this, many households struggle with:</w:t>
      </w:r>
    </w:p>
    <w:p>
      <w:pPr>
        <w:pStyle w:val="Compact"/>
        <w:numPr>
          <w:ilvl w:val="0"/>
          <w:numId w:val="1001"/>
        </w:numPr>
      </w:pPr>
      <w:r>
        <w:t xml:space="preserve">Insufficient emergency savings</w:t>
      </w:r>
    </w:p>
    <w:p>
      <w:pPr>
        <w:pStyle w:val="Compact"/>
        <w:numPr>
          <w:ilvl w:val="0"/>
          <w:numId w:val="1001"/>
        </w:numPr>
      </w:pPr>
      <w:r>
        <w:t xml:space="preserve">Limited visibility into financial health</w:t>
      </w:r>
    </w:p>
    <w:p>
      <w:pPr>
        <w:pStyle w:val="Compact"/>
        <w:numPr>
          <w:ilvl w:val="0"/>
          <w:numId w:val="1001"/>
        </w:numPr>
      </w:pPr>
      <w:r>
        <w:t xml:space="preserve">Fragmented financial accounts</w:t>
      </w:r>
    </w:p>
    <w:p>
      <w:pPr>
        <w:pStyle w:val="Compact"/>
        <w:numPr>
          <w:ilvl w:val="0"/>
          <w:numId w:val="1001"/>
        </w:numPr>
      </w:pPr>
      <w:r>
        <w:t xml:space="preserve">Goal planning challenges</w:t>
      </w:r>
    </w:p>
    <w:p>
      <w:pPr>
        <w:pStyle w:val="Compact"/>
        <w:numPr>
          <w:ilvl w:val="0"/>
          <w:numId w:val="1001"/>
        </w:numPr>
      </w:pPr>
      <w:r>
        <w:t xml:space="preserve">Financial stress and uncertainty</w:t>
      </w:r>
    </w:p>
    <w:p>
      <w:pPr>
        <w:pStyle w:val="Compact"/>
        <w:numPr>
          <w:ilvl w:val="0"/>
          <w:numId w:val="1001"/>
        </w:numPr>
      </w:pPr>
      <w:r>
        <w:t xml:space="preserve">Difficulty prioritizing financial decisions</w:t>
      </w:r>
    </w:p>
    <w:p>
      <w:pPr>
        <w:pStyle w:val="FirstParagraph"/>
      </w:pPr>
      <w:r>
        <w:t xml:space="preserve">Most financial applications focus on:</w:t>
      </w:r>
    </w:p>
    <w:p>
      <w:pPr>
        <w:pStyle w:val="Compact"/>
        <w:numPr>
          <w:ilvl w:val="0"/>
          <w:numId w:val="1002"/>
        </w:numPr>
      </w:pPr>
      <w:r>
        <w:t xml:space="preserve">Budget tracking</w:t>
      </w:r>
    </w:p>
    <w:p>
      <w:pPr>
        <w:pStyle w:val="Compact"/>
        <w:numPr>
          <w:ilvl w:val="0"/>
          <w:numId w:val="1002"/>
        </w:numPr>
      </w:pPr>
      <w:r>
        <w:t xml:space="preserve">Spending categorization</w:t>
      </w:r>
    </w:p>
    <w:p>
      <w:pPr>
        <w:pStyle w:val="Compact"/>
        <w:numPr>
          <w:ilvl w:val="0"/>
          <w:numId w:val="1002"/>
        </w:numPr>
      </w:pPr>
      <w:r>
        <w:t xml:space="preserve">Account monitoring</w:t>
      </w:r>
    </w:p>
    <w:p>
      <w:pPr>
        <w:pStyle w:val="Compact"/>
        <w:numPr>
          <w:ilvl w:val="0"/>
          <w:numId w:val="1002"/>
        </w:numPr>
      </w:pPr>
      <w:r>
        <w:t xml:space="preserve">Credit scores</w:t>
      </w:r>
    </w:p>
    <w:p>
      <w:pPr>
        <w:pStyle w:val="FirstParagraph"/>
      </w:pPr>
      <w:r>
        <w:t xml:space="preserve">These capabilities provide visibility but rarely provide meaningful guidance.</w:t>
      </w:r>
    </w:p>
    <w:p>
      <w:pPr>
        <w:pStyle w:val="BodyText"/>
      </w:pPr>
      <w:r>
        <w:t xml:space="preserve">Consumers often leave financial applications informed but not empowered.</w:t>
      </w:r>
    </w:p>
    <w:p>
      <w:r>
        <w:pict>
          <v:rect style="width:0;height:1.5pt" o:hralign="center" o:hrstd="t" o:hr="t"/>
        </w:pict>
      </w:r>
    </w:p>
    <w:bookmarkEnd w:id="24"/>
    <w:bookmarkStart w:id="25" w:name="opportunity"/>
    <w:p>
      <w:pPr>
        <w:pStyle w:val="Heading1"/>
      </w:pPr>
      <w:r>
        <w:t xml:space="preserve">Opportunity</w:t>
      </w:r>
    </w:p>
    <w:p>
      <w:pPr>
        <w:pStyle w:val="FirstParagraph"/>
      </w:pPr>
      <w:r>
        <w:t xml:space="preserve">Open Banking creates a unique opportunity to build a more complete understanding of household finances.</w:t>
      </w:r>
    </w:p>
    <w:p>
      <w:pPr>
        <w:pStyle w:val="BodyText"/>
      </w:pPr>
      <w:r>
        <w:t xml:space="preserve">At the same time, advances in AI and Graph Intelligence enable systems to reason over financial relationships rather than isolated transactions.</w:t>
      </w:r>
    </w:p>
    <w:p>
      <w:pPr>
        <w:pStyle w:val="BodyText"/>
      </w:pPr>
      <w:r>
        <w:t xml:space="preserve">NeoClarity combines these capabilities to create a Financial Resilience Coach that helps customers make better financial decisions through personalized, explainable, and trusted recommendations.</w:t>
      </w:r>
    </w:p>
    <w:p>
      <w:r>
        <w:pict>
          <v:rect style="width:0;height:1.5pt" o:hralign="center" o:hrstd="t" o:hr="t"/>
        </w:pict>
      </w:r>
    </w:p>
    <w:bookmarkEnd w:id="25"/>
    <w:bookmarkStart w:id="26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NeoClarity helps customers answer a simple question:</w:t>
      </w:r>
    </w:p>
    <w:p>
      <w:pPr>
        <w:pStyle w:val="BodyText"/>
      </w:pPr>
      <w:r>
        <w:t xml:space="preserve">“What is the most important financial action I should take today?”</w:t>
      </w:r>
    </w:p>
    <w:p>
      <w:pPr>
        <w:pStyle w:val="BodyText"/>
      </w:pPr>
      <w:r>
        <w:t xml:space="preserve">The platform continuously evaluates a customer’s financial situation and delivers one trusted Next Best Action designed to improve financial resilience.</w:t>
      </w:r>
    </w:p>
    <w:p>
      <w:pPr>
        <w:pStyle w:val="BodyText"/>
      </w:pPr>
      <w:r>
        <w:t xml:space="preserve">The focus is not on increasing engagement.</w:t>
      </w:r>
    </w:p>
    <w:p>
      <w:pPr>
        <w:pStyle w:val="BodyText"/>
      </w:pPr>
      <w:r>
        <w:t xml:space="preserve">The focus is on improving outcomes.</w:t>
      </w:r>
    </w:p>
    <w:p>
      <w:r>
        <w:pict>
          <v:rect style="width:0;height:1.5pt" o:hralign="center" o:hrstd="t" o:hr="t"/>
        </w:pict>
      </w:r>
    </w:p>
    <w:bookmarkEnd w:id="26"/>
    <w:bookmarkStart w:id="31" w:name="product-goals"/>
    <w:p>
      <w:pPr>
        <w:pStyle w:val="Heading1"/>
      </w:pPr>
      <w:r>
        <w:t xml:space="preserve">Product Goals</w:t>
      </w:r>
    </w:p>
    <w:bookmarkStart w:id="27" w:name="goal-1-improve-financial-resilience"/>
    <w:p>
      <w:pPr>
        <w:pStyle w:val="Heading3"/>
      </w:pPr>
      <w:r>
        <w:t xml:space="preserve">Goal 1: Improve Financial Resilience</w:t>
      </w:r>
    </w:p>
    <w:p>
      <w:pPr>
        <w:pStyle w:val="FirstParagraph"/>
      </w:pPr>
      <w:r>
        <w:t xml:space="preserve">Help customers become more financially prepared for unexpected events.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Emergency expenses</w:t>
      </w:r>
    </w:p>
    <w:p>
      <w:pPr>
        <w:pStyle w:val="Compact"/>
        <w:numPr>
          <w:ilvl w:val="0"/>
          <w:numId w:val="1003"/>
        </w:numPr>
      </w:pPr>
      <w:r>
        <w:t xml:space="preserve">Job loss</w:t>
      </w:r>
    </w:p>
    <w:p>
      <w:pPr>
        <w:pStyle w:val="Compact"/>
        <w:numPr>
          <w:ilvl w:val="0"/>
          <w:numId w:val="1003"/>
        </w:numPr>
      </w:pPr>
      <w:r>
        <w:t xml:space="preserve">Medical costs</w:t>
      </w:r>
    </w:p>
    <w:p>
      <w:pPr>
        <w:pStyle w:val="Compact"/>
        <w:numPr>
          <w:ilvl w:val="0"/>
          <w:numId w:val="1003"/>
        </w:numPr>
      </w:pPr>
      <w:r>
        <w:t xml:space="preserve">Economic uncertainty</w:t>
      </w:r>
    </w:p>
    <w:p>
      <w:r>
        <w:pict>
          <v:rect style="width:0;height:1.5pt" o:hralign="center" o:hrstd="t" o:hr="t"/>
        </w:pict>
      </w:r>
    </w:p>
    <w:bookmarkEnd w:id="27"/>
    <w:bookmarkStart w:id="28" w:name="goal-2-simplify-financial-decisions"/>
    <w:p>
      <w:pPr>
        <w:pStyle w:val="Heading3"/>
      </w:pPr>
      <w:r>
        <w:t xml:space="preserve">Goal 2: Simplify Financial Decisions</w:t>
      </w:r>
    </w:p>
    <w:p>
      <w:pPr>
        <w:pStyle w:val="FirstParagraph"/>
      </w:pPr>
      <w:r>
        <w:t xml:space="preserve">Reduce decision fatigue by prioritizing a single Next Best Action.</w:t>
      </w:r>
    </w:p>
    <w:p>
      <w:r>
        <w:pict>
          <v:rect style="width:0;height:1.5pt" o:hralign="center" o:hrstd="t" o:hr="t"/>
        </w:pict>
      </w:r>
    </w:p>
    <w:bookmarkEnd w:id="28"/>
    <w:bookmarkStart w:id="29" w:name="goal-3-increase-financial-awareness"/>
    <w:p>
      <w:pPr>
        <w:pStyle w:val="Heading3"/>
      </w:pPr>
      <w:r>
        <w:t xml:space="preserve">Goal 3: Increase Financial Awareness</w:t>
      </w:r>
    </w:p>
    <w:p>
      <w:pPr>
        <w:pStyle w:val="FirstParagraph"/>
      </w:pPr>
      <w:r>
        <w:t xml:space="preserve">Help customers understand the relationship between spending, goals, life events, and financial health.</w:t>
      </w:r>
    </w:p>
    <w:p>
      <w:r>
        <w:pict>
          <v:rect style="width:0;height:1.5pt" o:hralign="center" o:hrstd="t" o:hr="t"/>
        </w:pict>
      </w:r>
    </w:p>
    <w:bookmarkEnd w:id="29"/>
    <w:bookmarkStart w:id="30" w:name="X3cb2e6490841fac99264cfb5409fdd5da8bce9f"/>
    <w:p>
      <w:pPr>
        <w:pStyle w:val="Heading3"/>
      </w:pPr>
      <w:r>
        <w:t xml:space="preserve">Goal 4: Build Trust Through Explainability</w:t>
      </w:r>
    </w:p>
    <w:p>
      <w:pPr>
        <w:pStyle w:val="FirstParagraph"/>
      </w:pPr>
      <w:r>
        <w:t xml:space="preserve">Every recommendation must clearly explain:</w:t>
      </w:r>
    </w:p>
    <w:p>
      <w:pPr>
        <w:pStyle w:val="Compact"/>
        <w:numPr>
          <w:ilvl w:val="0"/>
          <w:numId w:val="1004"/>
        </w:numPr>
      </w:pPr>
      <w:r>
        <w:t xml:space="preserve">Why it was generated</w:t>
      </w:r>
    </w:p>
    <w:p>
      <w:pPr>
        <w:pStyle w:val="Compact"/>
        <w:numPr>
          <w:ilvl w:val="0"/>
          <w:numId w:val="1004"/>
        </w:numPr>
      </w:pPr>
      <w:r>
        <w:t xml:space="preserve">What evidence supports it</w:t>
      </w:r>
    </w:p>
    <w:p>
      <w:pPr>
        <w:pStyle w:val="Compact"/>
        <w:numPr>
          <w:ilvl w:val="0"/>
          <w:numId w:val="1004"/>
        </w:numPr>
      </w:pPr>
      <w:r>
        <w:t xml:space="preserve">What impact it will have</w:t>
      </w:r>
    </w:p>
    <w:p>
      <w:pPr>
        <w:pStyle w:val="Compact"/>
        <w:numPr>
          <w:ilvl w:val="0"/>
          <w:numId w:val="1004"/>
        </w:numPr>
      </w:pPr>
      <w:r>
        <w:t xml:space="preserve">How confident the system is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target-users"/>
    <w:p>
      <w:pPr>
        <w:pStyle w:val="Heading1"/>
      </w:pPr>
      <w:r>
        <w:t xml:space="preserve">Target Users</w:t>
      </w:r>
    </w:p>
    <w:bookmarkStart w:id="34" w:name="primary-users"/>
    <w:p>
      <w:pPr>
        <w:pStyle w:val="Heading2"/>
      </w:pPr>
      <w:r>
        <w:t xml:space="preserve">Primary Users</w:t>
      </w:r>
    </w:p>
    <w:bookmarkStart w:id="32" w:name="financially-engaged-consumers"/>
    <w:p>
      <w:pPr>
        <w:pStyle w:val="Heading3"/>
      </w:pPr>
      <w:r>
        <w:t xml:space="preserve">Financially Engaged Consumers</w:t>
      </w:r>
    </w:p>
    <w:p>
      <w:pPr>
        <w:pStyle w:val="FirstParagraph"/>
      </w:pPr>
      <w:r>
        <w:t xml:space="preserve">Individuals who actively monitor finances and pursue financial goals.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Homeowners</w:t>
      </w:r>
    </w:p>
    <w:p>
      <w:pPr>
        <w:pStyle w:val="Compact"/>
        <w:numPr>
          <w:ilvl w:val="0"/>
          <w:numId w:val="1005"/>
        </w:numPr>
      </w:pPr>
      <w:r>
        <w:t xml:space="preserve">Families</w:t>
      </w:r>
    </w:p>
    <w:p>
      <w:pPr>
        <w:pStyle w:val="Compact"/>
        <w:numPr>
          <w:ilvl w:val="0"/>
          <w:numId w:val="1005"/>
        </w:numPr>
      </w:pPr>
      <w:r>
        <w:t xml:space="preserve">Professionals</w:t>
      </w:r>
    </w:p>
    <w:p>
      <w:pPr>
        <w:pStyle w:val="Compact"/>
        <w:numPr>
          <w:ilvl w:val="0"/>
          <w:numId w:val="1005"/>
        </w:numPr>
      </w:pPr>
      <w:r>
        <w:t xml:space="preserve">Long-term savers</w:t>
      </w:r>
    </w:p>
    <w:p>
      <w:r>
        <w:pict>
          <v:rect style="width:0;height:1.5pt" o:hralign="center" o:hrstd="t" o:hr="t"/>
        </w:pict>
      </w:r>
    </w:p>
    <w:bookmarkEnd w:id="32"/>
    <w:bookmarkStart w:id="33" w:name="financially-stressed-consumers"/>
    <w:p>
      <w:pPr>
        <w:pStyle w:val="Heading3"/>
      </w:pPr>
      <w:r>
        <w:t xml:space="preserve">Financially Stressed Consumers</w:t>
      </w:r>
    </w:p>
    <w:p>
      <w:pPr>
        <w:pStyle w:val="FirstParagraph"/>
      </w:pPr>
      <w:r>
        <w:t xml:space="preserve">Individuals seeking guidance and improved financial confidence.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Limited emergency savings</w:t>
      </w:r>
    </w:p>
    <w:p>
      <w:pPr>
        <w:pStyle w:val="Compact"/>
        <w:numPr>
          <w:ilvl w:val="0"/>
          <w:numId w:val="1006"/>
        </w:numPr>
      </w:pPr>
      <w:r>
        <w:t xml:space="preserve">Growing debt</w:t>
      </w:r>
    </w:p>
    <w:p>
      <w:pPr>
        <w:pStyle w:val="Compact"/>
        <w:numPr>
          <w:ilvl w:val="0"/>
          <w:numId w:val="1006"/>
        </w:numPr>
      </w:pPr>
      <w:r>
        <w:t xml:space="preserve">Uncertain financial future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econdary-users"/>
    <w:p>
      <w:pPr>
        <w:pStyle w:val="Heading2"/>
      </w:pPr>
      <w:r>
        <w:t xml:space="preserve">Secondary Users</w:t>
      </w:r>
    </w:p>
    <w:bookmarkStart w:id="35" w:name="financial-institutions"/>
    <w:p>
      <w:pPr>
        <w:pStyle w:val="Heading3"/>
      </w:pPr>
      <w:r>
        <w:t xml:space="preserve">Financial Institutions</w:t>
      </w:r>
    </w:p>
    <w:p>
      <w:pPr>
        <w:pStyle w:val="FirstParagraph"/>
      </w:pPr>
      <w:r>
        <w:t xml:space="preserve">Organizations seeking to improve customer financial outcomes.</w:t>
      </w:r>
    </w:p>
    <w:bookmarkEnd w:id="35"/>
    <w:bookmarkStart w:id="36" w:name="wealth-management-platforms"/>
    <w:p>
      <w:pPr>
        <w:pStyle w:val="Heading3"/>
      </w:pPr>
      <w:r>
        <w:t xml:space="preserve">Wealth Management Platforms</w:t>
      </w:r>
    </w:p>
    <w:p>
      <w:pPr>
        <w:pStyle w:val="FirstParagraph"/>
      </w:pPr>
      <w:r>
        <w:t xml:space="preserve">Organizations seeking to deliver personalized financial coaching.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customer-problems"/>
    <w:p>
      <w:pPr>
        <w:pStyle w:val="Heading1"/>
      </w:pPr>
      <w:r>
        <w:t xml:space="preserve">Customer Problems</w:t>
      </w:r>
    </w:p>
    <w:bookmarkStart w:id="39" w:name="problem-1"/>
    <w:p>
      <w:pPr>
        <w:pStyle w:val="Heading2"/>
      </w:pPr>
      <w:r>
        <w:t xml:space="preserve">Problem 1</w:t>
      </w:r>
    </w:p>
    <w:p>
      <w:pPr>
        <w:pStyle w:val="FirstParagraph"/>
      </w:pPr>
      <w:r>
        <w:t xml:space="preserve">“I don’t know where I stand financially.”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Financial Resilience Score.</w:t>
      </w:r>
    </w:p>
    <w:p>
      <w:r>
        <w:pict>
          <v:rect style="width:0;height:1.5pt" o:hralign="center" o:hrstd="t" o:hr="t"/>
        </w:pict>
      </w:r>
    </w:p>
    <w:bookmarkEnd w:id="39"/>
    <w:bookmarkStart w:id="40" w:name="problem-2"/>
    <w:p>
      <w:pPr>
        <w:pStyle w:val="Heading2"/>
      </w:pPr>
      <w:r>
        <w:t xml:space="preserve">Problem 2</w:t>
      </w:r>
    </w:p>
    <w:p>
      <w:pPr>
        <w:pStyle w:val="FirstParagraph"/>
      </w:pPr>
      <w:r>
        <w:t xml:space="preserve">“I don’t know which financial goal should be my priority.”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Goal Planning Agent.</w:t>
      </w:r>
    </w:p>
    <w:p>
      <w:r>
        <w:pict>
          <v:rect style="width:0;height:1.5pt" o:hralign="center" o:hrstd="t" o:hr="t"/>
        </w:pict>
      </w:r>
    </w:p>
    <w:bookmarkEnd w:id="40"/>
    <w:bookmarkStart w:id="41" w:name="problem-3"/>
    <w:p>
      <w:pPr>
        <w:pStyle w:val="Heading2"/>
      </w:pPr>
      <w:r>
        <w:t xml:space="preserve">Problem 3</w:t>
      </w:r>
    </w:p>
    <w:p>
      <w:pPr>
        <w:pStyle w:val="FirstParagraph"/>
      </w:pPr>
      <w:r>
        <w:t xml:space="preserve">“I have transactions but no context.”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Event Intelligence.</w:t>
      </w:r>
    </w:p>
    <w:p>
      <w:r>
        <w:pict>
          <v:rect style="width:0;height:1.5pt" o:hralign="center" o:hrstd="t" o:hr="t"/>
        </w:pict>
      </w:r>
    </w:p>
    <w:bookmarkEnd w:id="41"/>
    <w:bookmarkStart w:id="42" w:name="problem-4"/>
    <w:p>
      <w:pPr>
        <w:pStyle w:val="Heading2"/>
      </w:pPr>
      <w:r>
        <w:t xml:space="preserve">Problem 4</w:t>
      </w:r>
    </w:p>
    <w:p>
      <w:pPr>
        <w:pStyle w:val="FirstParagraph"/>
      </w:pPr>
      <w:r>
        <w:t xml:space="preserve">“I get too many recommendations.”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Next Best Action prioritization.</w:t>
      </w:r>
    </w:p>
    <w:p>
      <w:r>
        <w:pict>
          <v:rect style="width:0;height:1.5pt" o:hralign="center" o:hrstd="t" o:hr="t"/>
        </w:pict>
      </w:r>
    </w:p>
    <w:bookmarkEnd w:id="42"/>
    <w:bookmarkStart w:id="43" w:name="problem-5"/>
    <w:p>
      <w:pPr>
        <w:pStyle w:val="Heading2"/>
      </w:pPr>
      <w:r>
        <w:t xml:space="preserve">Problem 5</w:t>
      </w:r>
    </w:p>
    <w:p>
      <w:pPr>
        <w:pStyle w:val="FirstParagraph"/>
      </w:pPr>
      <w:r>
        <w:t xml:space="preserve">“I don’t trust AI recommendations.”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Explainability and Human Approval.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re-product-capabilities"/>
    <w:p>
      <w:pPr>
        <w:pStyle w:val="Heading1"/>
      </w:pPr>
      <w:r>
        <w:t xml:space="preserve">Core Product Capabilities</w:t>
      </w:r>
    </w:p>
    <w:bookmarkStart w:id="45" w:name="account-aggregation"/>
    <w:p>
      <w:pPr>
        <w:pStyle w:val="Heading2"/>
      </w:pPr>
      <w:r>
        <w:t xml:space="preserve">Account Aggregation</w:t>
      </w:r>
    </w:p>
    <w:p>
      <w:pPr>
        <w:pStyle w:val="FirstParagraph"/>
      </w:pPr>
      <w:r>
        <w:t xml:space="preserve">Provide a unified view of customer financial accounts.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07"/>
        </w:numPr>
      </w:pPr>
      <w:r>
        <w:t xml:space="preserve">Checking</w:t>
      </w:r>
    </w:p>
    <w:p>
      <w:pPr>
        <w:pStyle w:val="Compact"/>
        <w:numPr>
          <w:ilvl w:val="0"/>
          <w:numId w:val="1007"/>
        </w:numPr>
      </w:pPr>
      <w:r>
        <w:t xml:space="preserve">Savings</w:t>
      </w:r>
    </w:p>
    <w:p>
      <w:pPr>
        <w:pStyle w:val="Compact"/>
        <w:numPr>
          <w:ilvl w:val="0"/>
          <w:numId w:val="1007"/>
        </w:numPr>
      </w:pPr>
      <w:r>
        <w:t xml:space="preserve">Credit Cards</w:t>
      </w:r>
    </w:p>
    <w:p>
      <w:pPr>
        <w:pStyle w:val="Compact"/>
        <w:numPr>
          <w:ilvl w:val="0"/>
          <w:numId w:val="1007"/>
        </w:numPr>
      </w:pPr>
      <w:r>
        <w:t xml:space="preserve">Loans</w:t>
      </w:r>
    </w:p>
    <w:p>
      <w:pPr>
        <w:pStyle w:val="FirstParagraph"/>
      </w:pPr>
      <w:r>
        <w:t xml:space="preserve">MVP uses mock Open Banking integrations.</w:t>
      </w:r>
    </w:p>
    <w:p>
      <w:r>
        <w:pict>
          <v:rect style="width:0;height:1.5pt" o:hralign="center" o:hrstd="t" o:hr="t"/>
        </w:pict>
      </w:r>
    </w:p>
    <w:bookmarkEnd w:id="45"/>
    <w:bookmarkStart w:id="46" w:name="household-digital-twin"/>
    <w:p>
      <w:pPr>
        <w:pStyle w:val="Heading2"/>
      </w:pPr>
      <w:r>
        <w:t xml:space="preserve">Household Digital Twin</w:t>
      </w:r>
    </w:p>
    <w:p>
      <w:pPr>
        <w:pStyle w:val="FirstParagraph"/>
      </w:pPr>
      <w:r>
        <w:t xml:space="preserve">Create a relationship-aware model of household finances.</w:t>
      </w:r>
    </w:p>
    <w:p>
      <w:pPr>
        <w:pStyle w:val="BodyText"/>
      </w:pPr>
      <w:r>
        <w:t xml:space="preserve">Entities include:</w:t>
      </w:r>
    </w:p>
    <w:p>
      <w:pPr>
        <w:pStyle w:val="Compact"/>
        <w:numPr>
          <w:ilvl w:val="0"/>
          <w:numId w:val="1008"/>
        </w:numPr>
      </w:pPr>
      <w:r>
        <w:t xml:space="preserve">Accounts</w:t>
      </w:r>
    </w:p>
    <w:p>
      <w:pPr>
        <w:pStyle w:val="Compact"/>
        <w:numPr>
          <w:ilvl w:val="0"/>
          <w:numId w:val="1008"/>
        </w:numPr>
      </w:pPr>
      <w:r>
        <w:t xml:space="preserve">Transactions</w:t>
      </w:r>
    </w:p>
    <w:p>
      <w:pPr>
        <w:pStyle w:val="Compact"/>
        <w:numPr>
          <w:ilvl w:val="0"/>
          <w:numId w:val="1008"/>
        </w:numPr>
      </w:pPr>
      <w:r>
        <w:t xml:space="preserve">Goals</w:t>
      </w:r>
    </w:p>
    <w:p>
      <w:pPr>
        <w:pStyle w:val="Compact"/>
        <w:numPr>
          <w:ilvl w:val="0"/>
          <w:numId w:val="1008"/>
        </w:numPr>
      </w:pPr>
      <w:r>
        <w:t xml:space="preserve">Events</w:t>
      </w:r>
    </w:p>
    <w:p>
      <w:pPr>
        <w:pStyle w:val="Compact"/>
        <w:numPr>
          <w:ilvl w:val="0"/>
          <w:numId w:val="1008"/>
        </w:numPr>
      </w:pPr>
      <w:r>
        <w:t xml:space="preserve">Recommendations</w:t>
      </w:r>
    </w:p>
    <w:p>
      <w:pPr>
        <w:pStyle w:val="Compact"/>
        <w:numPr>
          <w:ilvl w:val="0"/>
          <w:numId w:val="1008"/>
        </w:numPr>
      </w:pPr>
      <w:r>
        <w:t xml:space="preserve">Customer Context</w:t>
      </w:r>
    </w:p>
    <w:p>
      <w:r>
        <w:pict>
          <v:rect style="width:0;height:1.5pt" o:hralign="center" o:hrstd="t" o:hr="t"/>
        </w:pict>
      </w:r>
    </w:p>
    <w:bookmarkEnd w:id="46"/>
    <w:bookmarkStart w:id="47" w:name="financial-resilience-score"/>
    <w:p>
      <w:pPr>
        <w:pStyle w:val="Heading2"/>
      </w:pPr>
      <w:r>
        <w:t xml:space="preserve">Financial Resilience Score</w:t>
      </w:r>
    </w:p>
    <w:p>
      <w:pPr>
        <w:pStyle w:val="FirstParagraph"/>
      </w:pPr>
      <w:r>
        <w:t xml:space="preserve">Measure overall financial preparedness.</w:t>
      </w:r>
    </w:p>
    <w:p>
      <w:pPr>
        <w:pStyle w:val="BodyText"/>
      </w:pPr>
      <w:r>
        <w:t xml:space="preserve">Components:</w:t>
      </w:r>
    </w:p>
    <w:p>
      <w:pPr>
        <w:pStyle w:val="Compact"/>
        <w:numPr>
          <w:ilvl w:val="0"/>
          <w:numId w:val="1009"/>
        </w:numPr>
      </w:pPr>
      <w:r>
        <w:t xml:space="preserve">Emergency Fund Coverage</w:t>
      </w:r>
    </w:p>
    <w:p>
      <w:pPr>
        <w:pStyle w:val="Compact"/>
        <w:numPr>
          <w:ilvl w:val="0"/>
          <w:numId w:val="1009"/>
        </w:numPr>
      </w:pPr>
      <w:r>
        <w:t xml:space="preserve">Debt Burden</w:t>
      </w:r>
    </w:p>
    <w:p>
      <w:pPr>
        <w:pStyle w:val="Compact"/>
        <w:numPr>
          <w:ilvl w:val="0"/>
          <w:numId w:val="1009"/>
        </w:numPr>
      </w:pPr>
      <w:r>
        <w:t xml:space="preserve">Cash Flow Stability</w:t>
      </w:r>
    </w:p>
    <w:p>
      <w:pPr>
        <w:pStyle w:val="Compact"/>
        <w:numPr>
          <w:ilvl w:val="0"/>
          <w:numId w:val="1009"/>
        </w:numPr>
      </w:pPr>
      <w:r>
        <w:t xml:space="preserve">Goal Readiness</w:t>
      </w:r>
    </w:p>
    <w:p>
      <w:r>
        <w:pict>
          <v:rect style="width:0;height:1.5pt" o:hralign="center" o:hrstd="t" o:hr="t"/>
        </w:pict>
      </w:r>
    </w:p>
    <w:bookmarkEnd w:id="47"/>
    <w:bookmarkStart w:id="48" w:name="event-intelligence"/>
    <w:p>
      <w:pPr>
        <w:pStyle w:val="Heading2"/>
      </w:pPr>
      <w:r>
        <w:t xml:space="preserve">Event Intelligence</w:t>
      </w:r>
    </w:p>
    <w:p>
      <w:pPr>
        <w:pStyle w:val="FirstParagraph"/>
      </w:pPr>
      <w:r>
        <w:t xml:space="preserve">Identify meaningful financial events from transaction activity.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Yellowstone Vacation</w:t>
      </w:r>
    </w:p>
    <w:p>
      <w:pPr>
        <w:pStyle w:val="Compact"/>
        <w:numPr>
          <w:ilvl w:val="0"/>
          <w:numId w:val="1010"/>
        </w:numPr>
      </w:pPr>
      <w:r>
        <w:t xml:space="preserve">Home Renovation</w:t>
      </w:r>
    </w:p>
    <w:p>
      <w:pPr>
        <w:pStyle w:val="Compact"/>
        <w:numPr>
          <w:ilvl w:val="0"/>
          <w:numId w:val="1010"/>
        </w:numPr>
      </w:pPr>
      <w:r>
        <w:t xml:space="preserve">Child Activities</w:t>
      </w:r>
    </w:p>
    <w:p>
      <w:pPr>
        <w:pStyle w:val="Compact"/>
        <w:numPr>
          <w:ilvl w:val="0"/>
          <w:numId w:val="1010"/>
        </w:numPr>
      </w:pPr>
      <w:r>
        <w:t xml:space="preserve">Medical Expenses</w:t>
      </w:r>
    </w:p>
    <w:p>
      <w:r>
        <w:pict>
          <v:rect style="width:0;height:1.5pt" o:hralign="center" o:hrstd="t" o:hr="t"/>
        </w:pict>
      </w:r>
    </w:p>
    <w:bookmarkEnd w:id="48"/>
    <w:bookmarkStart w:id="49" w:name="goal-planning"/>
    <w:p>
      <w:pPr>
        <w:pStyle w:val="Heading2"/>
      </w:pPr>
      <w:r>
        <w:t xml:space="preserve">Goal Planning</w:t>
      </w:r>
    </w:p>
    <w:p>
      <w:pPr>
        <w:pStyle w:val="FirstParagraph"/>
      </w:pPr>
      <w:r>
        <w:t xml:space="preserve">Track customer goals and recommend improvements.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Emergency Fund</w:t>
      </w:r>
    </w:p>
    <w:p>
      <w:pPr>
        <w:pStyle w:val="Compact"/>
        <w:numPr>
          <w:ilvl w:val="0"/>
          <w:numId w:val="1011"/>
        </w:numPr>
      </w:pPr>
      <w:r>
        <w:t xml:space="preserve">Vacation Savings</w:t>
      </w:r>
    </w:p>
    <w:p>
      <w:pPr>
        <w:pStyle w:val="Compact"/>
        <w:numPr>
          <w:ilvl w:val="0"/>
          <w:numId w:val="1011"/>
        </w:numPr>
      </w:pPr>
      <w:r>
        <w:t xml:space="preserve">College Savings</w:t>
      </w:r>
    </w:p>
    <w:p>
      <w:r>
        <w:pict>
          <v:rect style="width:0;height:1.5pt" o:hralign="center" o:hrstd="t" o:hr="t"/>
        </w:pict>
      </w:r>
    </w:p>
    <w:bookmarkEnd w:id="49"/>
    <w:bookmarkStart w:id="50" w:name="recommendation-engine"/>
    <w:p>
      <w:pPr>
        <w:pStyle w:val="Heading2"/>
      </w:pPr>
      <w:r>
        <w:t xml:space="preserve">Recommendation Engine</w:t>
      </w:r>
    </w:p>
    <w:p>
      <w:pPr>
        <w:pStyle w:val="FirstParagraph"/>
      </w:pPr>
      <w:r>
        <w:t xml:space="preserve">Generate personalized recommendations.</w:t>
      </w:r>
    </w:p>
    <w:p>
      <w:pPr>
        <w:pStyle w:val="BodyText"/>
      </w:pPr>
      <w:r>
        <w:t xml:space="preserve">Every recommendation includes:</w:t>
      </w:r>
    </w:p>
    <w:p>
      <w:pPr>
        <w:pStyle w:val="Compact"/>
        <w:numPr>
          <w:ilvl w:val="0"/>
          <w:numId w:val="1012"/>
        </w:numPr>
      </w:pPr>
      <w:r>
        <w:t xml:space="preserve">Reason</w:t>
      </w:r>
    </w:p>
    <w:p>
      <w:pPr>
        <w:pStyle w:val="Compact"/>
        <w:numPr>
          <w:ilvl w:val="0"/>
          <w:numId w:val="1012"/>
        </w:numPr>
      </w:pPr>
      <w:r>
        <w:t xml:space="preserve">Evidence</w:t>
      </w:r>
    </w:p>
    <w:p>
      <w:pPr>
        <w:pStyle w:val="Compact"/>
        <w:numPr>
          <w:ilvl w:val="0"/>
          <w:numId w:val="1012"/>
        </w:numPr>
      </w:pPr>
      <w:r>
        <w:t xml:space="preserve">Expected Impact</w:t>
      </w:r>
    </w:p>
    <w:p>
      <w:pPr>
        <w:pStyle w:val="Compact"/>
        <w:numPr>
          <w:ilvl w:val="0"/>
          <w:numId w:val="1012"/>
        </w:numPr>
      </w:pPr>
      <w:r>
        <w:t xml:space="preserve">Confidence Score</w:t>
      </w:r>
    </w:p>
    <w:p>
      <w:r>
        <w:pict>
          <v:rect style="width:0;height:1.5pt" o:hralign="center" o:hrstd="t" o:hr="t"/>
        </w:pict>
      </w:r>
    </w:p>
    <w:bookmarkEnd w:id="50"/>
    <w:bookmarkStart w:id="51" w:name="next-best-action"/>
    <w:p>
      <w:pPr>
        <w:pStyle w:val="Heading2"/>
      </w:pPr>
      <w:r>
        <w:t xml:space="preserve">Next Best Action</w:t>
      </w:r>
    </w:p>
    <w:p>
      <w:pPr>
        <w:pStyle w:val="FirstParagraph"/>
      </w:pPr>
      <w:r>
        <w:t xml:space="preserve">Present a single prioritized recommendation.</w:t>
      </w:r>
    </w:p>
    <w:p>
      <w:pPr>
        <w:pStyle w:val="BodyText"/>
      </w:pPr>
      <w:r>
        <w:t xml:space="preserve">This becomes the primary user experience.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what-makes-neoclarity-different"/>
    <w:p>
      <w:pPr>
        <w:pStyle w:val="Heading1"/>
      </w:pPr>
      <w:r>
        <w:t xml:space="preserve">What Makes NeoClarity Different</w:t>
      </w:r>
    </w:p>
    <w:bookmarkStart w:id="53" w:name="traditional-financial-apps"/>
    <w:p>
      <w:pPr>
        <w:pStyle w:val="Heading2"/>
      </w:pPr>
      <w:r>
        <w:t xml:space="preserve">Traditional Financial Apps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13"/>
        </w:numPr>
      </w:pPr>
      <w:r>
        <w:t xml:space="preserve">Tracking</w:t>
      </w:r>
    </w:p>
    <w:p>
      <w:pPr>
        <w:pStyle w:val="Compact"/>
        <w:numPr>
          <w:ilvl w:val="0"/>
          <w:numId w:val="1013"/>
        </w:numPr>
      </w:pPr>
      <w:r>
        <w:t xml:space="preserve">Monitoring</w:t>
      </w:r>
    </w:p>
    <w:p>
      <w:pPr>
        <w:pStyle w:val="Compact"/>
        <w:numPr>
          <w:ilvl w:val="0"/>
          <w:numId w:val="1013"/>
        </w:numPr>
      </w:pPr>
      <w:r>
        <w:t xml:space="preserve">Reporting</w:t>
      </w:r>
    </w:p>
    <w:p>
      <w:pPr>
        <w:pStyle w:val="FirstParagraph"/>
      </w:pPr>
      <w:r>
        <w:t xml:space="preserve">Question answered:</w:t>
      </w:r>
    </w:p>
    <w:p>
      <w:pPr>
        <w:pStyle w:val="BodyText"/>
      </w:pPr>
      <w:r>
        <w:t xml:space="preserve">“What happened?”</w:t>
      </w:r>
    </w:p>
    <w:p>
      <w:r>
        <w:pict>
          <v:rect style="width:0;height:1.5pt" o:hralign="center" o:hrstd="t" o:hr="t"/>
        </w:pict>
      </w:r>
    </w:p>
    <w:bookmarkEnd w:id="53"/>
    <w:bookmarkStart w:id="54" w:name="neoclarity-1"/>
    <w:p>
      <w:pPr>
        <w:pStyle w:val="Heading2"/>
      </w:pPr>
      <w:r>
        <w:t xml:space="preserve">NeoClarity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14"/>
        </w:numPr>
      </w:pPr>
      <w:r>
        <w:t xml:space="preserve">Coaching</w:t>
      </w:r>
    </w:p>
    <w:p>
      <w:pPr>
        <w:pStyle w:val="Compact"/>
        <w:numPr>
          <w:ilvl w:val="0"/>
          <w:numId w:val="1014"/>
        </w:numPr>
      </w:pPr>
      <w:r>
        <w:t xml:space="preserve">Guidance</w:t>
      </w:r>
    </w:p>
    <w:p>
      <w:pPr>
        <w:pStyle w:val="Compact"/>
        <w:numPr>
          <w:ilvl w:val="0"/>
          <w:numId w:val="1014"/>
        </w:numPr>
      </w:pPr>
      <w:r>
        <w:t xml:space="preserve">Financial Resilience</w:t>
      </w:r>
    </w:p>
    <w:p>
      <w:pPr>
        <w:pStyle w:val="FirstParagraph"/>
      </w:pPr>
      <w:r>
        <w:t xml:space="preserve">Question answered:</w:t>
      </w:r>
    </w:p>
    <w:p>
      <w:pPr>
        <w:pStyle w:val="BodyText"/>
      </w:pPr>
      <w:r>
        <w:t xml:space="preserve">“What should I do next?”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Customer Metrics</w:t>
      </w:r>
    </w:p>
    <w:p>
      <w:pPr>
        <w:pStyle w:val="Compact"/>
        <w:numPr>
          <w:ilvl w:val="0"/>
          <w:numId w:val="1015"/>
        </w:numPr>
      </w:pPr>
      <w:r>
        <w:t xml:space="preserve">Recommendation Acceptance Rate</w:t>
      </w:r>
    </w:p>
    <w:p>
      <w:pPr>
        <w:pStyle w:val="Compact"/>
        <w:numPr>
          <w:ilvl w:val="0"/>
          <w:numId w:val="1015"/>
        </w:numPr>
      </w:pPr>
      <w:r>
        <w:t xml:space="preserve">Goal Completion Rate</w:t>
      </w:r>
    </w:p>
    <w:p>
      <w:pPr>
        <w:pStyle w:val="Compact"/>
        <w:numPr>
          <w:ilvl w:val="0"/>
          <w:numId w:val="1015"/>
        </w:numPr>
      </w:pPr>
      <w:r>
        <w:t xml:space="preserve">Financial Resilience Improvement Rate</w:t>
      </w:r>
    </w:p>
    <w:p>
      <w:pPr>
        <w:pStyle w:val="Compact"/>
        <w:numPr>
          <w:ilvl w:val="0"/>
          <w:numId w:val="1015"/>
        </w:numPr>
      </w:pPr>
      <w:r>
        <w:t xml:space="preserve">Emergency Fund 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Metrics</w:t>
      </w:r>
    </w:p>
    <w:p>
      <w:pPr>
        <w:pStyle w:val="Compact"/>
        <w:numPr>
          <w:ilvl w:val="0"/>
          <w:numId w:val="1016"/>
        </w:numPr>
      </w:pPr>
      <w:r>
        <w:t xml:space="preserve">Time to First Insight</w:t>
      </w:r>
    </w:p>
    <w:p>
      <w:pPr>
        <w:pStyle w:val="Compact"/>
        <w:numPr>
          <w:ilvl w:val="0"/>
          <w:numId w:val="1016"/>
        </w:numPr>
      </w:pPr>
      <w:r>
        <w:t xml:space="preserve">Event Detection Accuracy</w:t>
      </w:r>
    </w:p>
    <w:p>
      <w:pPr>
        <w:pStyle w:val="Compact"/>
        <w:numPr>
          <w:ilvl w:val="0"/>
          <w:numId w:val="1016"/>
        </w:numPr>
      </w:pPr>
      <w:r>
        <w:t xml:space="preserve">Recommendation Accuracy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Metrics</w:t>
      </w:r>
    </w:p>
    <w:p>
      <w:pPr>
        <w:pStyle w:val="Compact"/>
        <w:numPr>
          <w:ilvl w:val="0"/>
          <w:numId w:val="1017"/>
        </w:numPr>
      </w:pPr>
      <w:r>
        <w:t xml:space="preserve">Retention</w:t>
      </w:r>
    </w:p>
    <w:p>
      <w:pPr>
        <w:pStyle w:val="Compact"/>
        <w:numPr>
          <w:ilvl w:val="0"/>
          <w:numId w:val="1017"/>
        </w:numPr>
      </w:pPr>
      <w:r>
        <w:t xml:space="preserve">Customer Satisfaction</w:t>
      </w:r>
    </w:p>
    <w:p>
      <w:pPr>
        <w:pStyle w:val="Compact"/>
        <w:numPr>
          <w:ilvl w:val="0"/>
          <w:numId w:val="1017"/>
        </w:numPr>
      </w:pPr>
      <w:r>
        <w:t xml:space="preserve">Engagement Quality</w:t>
      </w:r>
    </w:p>
    <w:p>
      <w:r>
        <w:pict>
          <v:rect style="width:0;height:1.5pt" o:hralign="center" o:hrstd="t" o:hr="t"/>
        </w:pict>
      </w:r>
    </w:p>
    <w:bookmarkEnd w:id="56"/>
    <w:bookmarkStart w:id="57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Included:</w:t>
      </w:r>
    </w:p>
    <w:p>
      <w:pPr>
        <w:pStyle w:val="Compact"/>
        <w:numPr>
          <w:ilvl w:val="0"/>
          <w:numId w:val="1018"/>
        </w:numPr>
      </w:pPr>
      <w:r>
        <w:t xml:space="preserve">Account Aggregation</w:t>
      </w:r>
    </w:p>
    <w:p>
      <w:pPr>
        <w:pStyle w:val="Compact"/>
        <w:numPr>
          <w:ilvl w:val="0"/>
          <w:numId w:val="1018"/>
        </w:numPr>
      </w:pPr>
      <w:r>
        <w:t xml:space="preserve">Household Digital Twin</w:t>
      </w:r>
    </w:p>
    <w:p>
      <w:pPr>
        <w:pStyle w:val="Compact"/>
        <w:numPr>
          <w:ilvl w:val="0"/>
          <w:numId w:val="1018"/>
        </w:numPr>
      </w:pPr>
      <w:r>
        <w:t xml:space="preserve">Financial Resilience Score</w:t>
      </w:r>
    </w:p>
    <w:p>
      <w:pPr>
        <w:pStyle w:val="Compact"/>
        <w:numPr>
          <w:ilvl w:val="0"/>
          <w:numId w:val="1018"/>
        </w:numPr>
      </w:pPr>
      <w:r>
        <w:t xml:space="preserve">Event Intelligence</w:t>
      </w:r>
    </w:p>
    <w:p>
      <w:pPr>
        <w:pStyle w:val="Compact"/>
        <w:numPr>
          <w:ilvl w:val="0"/>
          <w:numId w:val="1018"/>
        </w:numPr>
      </w:pPr>
      <w:r>
        <w:t xml:space="preserve">Goal Planning</w:t>
      </w:r>
    </w:p>
    <w:p>
      <w:pPr>
        <w:pStyle w:val="Compact"/>
        <w:numPr>
          <w:ilvl w:val="0"/>
          <w:numId w:val="1018"/>
        </w:numPr>
      </w:pPr>
      <w:r>
        <w:t xml:space="preserve">Recommendation Engine</w:t>
      </w:r>
    </w:p>
    <w:p>
      <w:pPr>
        <w:pStyle w:val="Compact"/>
        <w:numPr>
          <w:ilvl w:val="0"/>
          <w:numId w:val="1018"/>
        </w:numPr>
      </w:pPr>
      <w:r>
        <w:t xml:space="preserve">Next Best Action</w:t>
      </w:r>
    </w:p>
    <w:p>
      <w:pPr>
        <w:pStyle w:val="Compact"/>
        <w:numPr>
          <w:ilvl w:val="0"/>
          <w:numId w:val="1018"/>
        </w:numPr>
      </w:pPr>
      <w:r>
        <w:t xml:space="preserve">Human Approval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Excluded:</w:t>
      </w:r>
    </w:p>
    <w:p>
      <w:pPr>
        <w:pStyle w:val="Compact"/>
        <w:numPr>
          <w:ilvl w:val="0"/>
          <w:numId w:val="1019"/>
        </w:numPr>
      </w:pPr>
      <w:r>
        <w:t xml:space="preserve">Real Open Banking Providers</w:t>
      </w:r>
    </w:p>
    <w:p>
      <w:pPr>
        <w:pStyle w:val="Compact"/>
        <w:numPr>
          <w:ilvl w:val="0"/>
          <w:numId w:val="1019"/>
        </w:numPr>
      </w:pPr>
      <w:r>
        <w:t xml:space="preserve">Autonomous Money Movement</w:t>
      </w:r>
    </w:p>
    <w:p>
      <w:pPr>
        <w:pStyle w:val="Compact"/>
        <w:numPr>
          <w:ilvl w:val="0"/>
          <w:numId w:val="1019"/>
        </w:numPr>
      </w:pPr>
      <w:r>
        <w:t xml:space="preserve">Lending Decisions</w:t>
      </w:r>
    </w:p>
    <w:p>
      <w:pPr>
        <w:pStyle w:val="Compact"/>
        <w:numPr>
          <w:ilvl w:val="0"/>
          <w:numId w:val="1019"/>
        </w:numPr>
      </w:pPr>
      <w:r>
        <w:t xml:space="preserve">Investment Advice</w:t>
      </w:r>
    </w:p>
    <w:p>
      <w:pPr>
        <w:pStyle w:val="Compact"/>
        <w:numPr>
          <w:ilvl w:val="0"/>
          <w:numId w:val="1019"/>
        </w:numPr>
      </w:pPr>
      <w:r>
        <w:t xml:space="preserve">Mortgage Intelligence</w:t>
      </w:r>
    </w:p>
    <w:p>
      <w:pPr>
        <w:pStyle w:val="Compact"/>
        <w:numPr>
          <w:ilvl w:val="0"/>
          <w:numId w:val="1019"/>
        </w:numPr>
      </w:pPr>
      <w:r>
        <w:t xml:space="preserve">Insurance Marketplace</w:t>
      </w:r>
    </w:p>
    <w:p>
      <w:r>
        <w:pict>
          <v:rect style="width:0;height:1.5pt" o:hralign="center" o:hrstd="t" o:hr="t"/>
        </w:pict>
      </w:r>
    </w:p>
    <w:bookmarkEnd w:id="57"/>
    <w:bookmarkStart w:id="58" w:name="product-principles"/>
    <w:p>
      <w:pPr>
        <w:pStyle w:val="Heading1"/>
      </w:pPr>
      <w:r>
        <w:t xml:space="preserve">Product Principles</w:t>
      </w:r>
    </w:p>
    <w:p>
      <w:pPr>
        <w:numPr>
          <w:ilvl w:val="0"/>
          <w:numId w:val="1020"/>
        </w:numPr>
      </w:pPr>
      <w:r>
        <w:t xml:space="preserve">Action Over Information</w:t>
      </w:r>
    </w:p>
    <w:p>
      <w:pPr>
        <w:numPr>
          <w:ilvl w:val="0"/>
          <w:numId w:val="1020"/>
        </w:numPr>
      </w:pPr>
      <w:r>
        <w:t xml:space="preserve">Explainability Over Automation</w:t>
      </w:r>
    </w:p>
    <w:p>
      <w:pPr>
        <w:numPr>
          <w:ilvl w:val="0"/>
          <w:numId w:val="1020"/>
        </w:numPr>
      </w:pPr>
      <w:r>
        <w:t xml:space="preserve">Human Control Over Autonomous Decisions</w:t>
      </w:r>
    </w:p>
    <w:p>
      <w:pPr>
        <w:numPr>
          <w:ilvl w:val="0"/>
          <w:numId w:val="1020"/>
        </w:numPr>
      </w:pPr>
      <w:r>
        <w:t xml:space="preserve">Financial Resilience Over Engagement Metrics</w:t>
      </w:r>
    </w:p>
    <w:p>
      <w:pPr>
        <w:numPr>
          <w:ilvl w:val="0"/>
          <w:numId w:val="1020"/>
        </w:numPr>
      </w:pPr>
      <w:r>
        <w:t xml:space="preserve">Trust Before Intelligence</w:t>
      </w:r>
    </w:p>
    <w:p>
      <w:r>
        <w:pict>
          <v:rect style="width:0;height:1.5pt" o:hralign="center" o:hrstd="t" o:hr="t"/>
        </w:pict>
      </w:r>
    </w:p>
    <w:bookmarkEnd w:id="58"/>
    <w:bookmarkStart w:id="59" w:name="product-positioning"/>
    <w:p>
      <w:pPr>
        <w:pStyle w:val="Heading1"/>
      </w:pPr>
      <w:r>
        <w:t xml:space="preserve">Product Positioning</w:t>
      </w:r>
    </w:p>
    <w:p>
      <w:pPr>
        <w:pStyle w:val="FirstParagraph"/>
      </w:pPr>
      <w:r>
        <w:t xml:space="preserve">NeoClarity is an AI-powered Financial Resilience Platform that transforms fragmented financial data into trusted actions that improve financial outcomes.</w:t>
      </w:r>
    </w:p>
    <w:p>
      <w:pPr>
        <w:pStyle w:val="BodyText"/>
      </w:pPr>
      <w:r>
        <w:t xml:space="preserve">Tagline:</w:t>
      </w:r>
    </w:p>
    <w:p>
      <w:pPr>
        <w:pStyle w:val="BodyText"/>
      </w:pPr>
      <w:r>
        <w:t xml:space="preserve">Financial Clarity. Trusted Action. Stronger Resilience.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Status: Approved</w:t>
      </w:r>
    </w:p>
    <w:p>
      <w:pPr>
        <w:pStyle w:val="BodyText"/>
      </w:pPr>
      <w:r>
        <w:t xml:space="preserve">Version: 1.0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2026-06-15T06:40:03Z</dcterms:created>
  <dcterms:modified xsi:type="dcterms:W3CDTF">2026-06-15T06:40:03Z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