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neoclarity"/>
    <w:p>
      <w:pPr>
        <w:pStyle w:val="Heading1"/>
      </w:pPr>
      <w:r>
        <w:t xml:space="preserve">NeoClarity</w:t>
      </w:r>
    </w:p>
    <w:bookmarkStart w:id="21" w:name="product-vision-strategy"/>
    <w:p>
      <w:pPr>
        <w:pStyle w:val="Heading2"/>
      </w:pPr>
      <w:r>
        <w:t xml:space="preserve">Product Vision &amp; Strategy</w:t>
      </w:r>
    </w:p>
    <w:bookmarkStart w:id="20" w:name="version-1.0"/>
    <w:p>
      <w:pPr>
        <w:pStyle w:val="Heading3"/>
      </w:pPr>
      <w:r>
        <w:t xml:space="preserve">Version 1.0</w:t>
      </w:r>
    </w:p>
    <w:p>
      <w:r>
        <w:pict>
          <v:rect style="width:0;height:1.5pt" o:hralign="center" o:hrstd="t" o:hr="t"/>
        </w:pict>
      </w:r>
    </w:p>
    <w:bookmarkEnd w:id="20"/>
    <w:bookmarkEnd w:id="21"/>
    <w:bookmarkEnd w:id="22"/>
    <w:bookmarkStart w:id="23" w:name="executive-summary"/>
    <w:p>
      <w:pPr>
        <w:pStyle w:val="Heading1"/>
      </w:pPr>
      <w:r>
        <w:t xml:space="preserve">Executive Summary</w:t>
      </w:r>
    </w:p>
    <w:p>
      <w:pPr>
        <w:pStyle w:val="FirstParagraph"/>
      </w:pPr>
      <w:r>
        <w:t xml:space="preserve">NeoClarity is an AI-powered Financial Resilience Platform designed to help individuals and households transform fragmented financial data into trusted actions that improve long-term financial wellbeing.</w:t>
      </w:r>
    </w:p>
    <w:p>
      <w:pPr>
        <w:pStyle w:val="BodyText"/>
      </w:pPr>
      <w:r>
        <w:t xml:space="preserve">Consumers today have unprecedented access to financial information through online banking, budgeting tools, credit monitoring services, and investment platforms. Yet despite having more information than ever before, many households continue to struggle with financial uncertainty, inadequate emergency savings, rising debt burdens, and a lack of confidence in financial decision making.</w:t>
      </w:r>
    </w:p>
    <w:p>
      <w:pPr>
        <w:pStyle w:val="BodyText"/>
      </w:pPr>
      <w:r>
        <w:t xml:space="preserve">NeoClarity addresses this gap by combining Open Banking, Household Digital Twin technology, Graph Intelligence, and Supervised AI Agents to create a personalized financial coaching experience focused on measurable outcomes rather than passive insights.</w:t>
      </w:r>
    </w:p>
    <w:p>
      <w:pPr>
        <w:pStyle w:val="BodyText"/>
      </w:pPr>
      <w:r>
        <w:t xml:space="preserve">The platform continuously evaluates a customer’s financial health, identifies meaningful life events, generates explainable recommendations, and presents a single prioritized Next Best Action designed to improve Financial Resilience.</w:t>
      </w:r>
    </w:p>
    <w:p>
      <w:r>
        <w:pict>
          <v:rect style="width:0;height:1.5pt" o:hralign="center" o:hrstd="t" o:hr="t"/>
        </w:pict>
      </w:r>
    </w:p>
    <w:bookmarkEnd w:id="23"/>
    <w:bookmarkStart w:id="24" w:name="vision-statement"/>
    <w:p>
      <w:pPr>
        <w:pStyle w:val="Heading1"/>
      </w:pPr>
      <w:r>
        <w:t xml:space="preserve">Vision Statement</w:t>
      </w:r>
    </w:p>
    <w:p>
      <w:pPr>
        <w:pStyle w:val="FirstParagraph"/>
      </w:pPr>
      <w:r>
        <w:t xml:space="preserve">To become the most trusted AI-powered financial resilience platform that helps every household make better financial decisions with confidence.</w:t>
      </w:r>
    </w:p>
    <w:p>
      <w:r>
        <w:pict>
          <v:rect style="width:0;height:1.5pt" o:hralign="center" o:hrstd="t" o:hr="t"/>
        </w:pict>
      </w:r>
    </w:p>
    <w:bookmarkEnd w:id="24"/>
    <w:bookmarkStart w:id="25" w:name="mission-statement"/>
    <w:p>
      <w:pPr>
        <w:pStyle w:val="Heading1"/>
      </w:pPr>
      <w:r>
        <w:t xml:space="preserve">Mission Statement</w:t>
      </w:r>
    </w:p>
    <w:p>
      <w:pPr>
        <w:pStyle w:val="FirstParagraph"/>
      </w:pPr>
      <w:r>
        <w:t xml:space="preserve">Transform financial awareness into financial action by providing personalized, explainable, and trustworthy guidance that improves financial resilience over time.</w:t>
      </w:r>
    </w:p>
    <w:p>
      <w:r>
        <w:pict>
          <v:rect style="width:0;height:1.5pt" o:hralign="center" o:hrstd="t" o:hr="t"/>
        </w:pict>
      </w:r>
    </w:p>
    <w:bookmarkEnd w:id="25"/>
    <w:bookmarkStart w:id="26" w:name="problem-statement"/>
    <w:p>
      <w:pPr>
        <w:pStyle w:val="Heading1"/>
      </w:pPr>
      <w:r>
        <w:t xml:space="preserve">Problem Statement</w:t>
      </w:r>
    </w:p>
    <w:p>
      <w:pPr>
        <w:pStyle w:val="FirstParagraph"/>
      </w:pPr>
      <w:r>
        <w:t xml:space="preserve">Most consumers do not suffer from a lack of financial information.</w:t>
      </w:r>
    </w:p>
    <w:p>
      <w:pPr>
        <w:pStyle w:val="BodyText"/>
      </w:pPr>
      <w:r>
        <w:t xml:space="preserve">They suffer from a lack of clarity.</w:t>
      </w:r>
    </w:p>
    <w:p>
      <w:pPr>
        <w:pStyle w:val="BodyText"/>
      </w:pPr>
      <w:r>
        <w:t xml:space="preserve">Existing solutions focus primarily on:</w:t>
      </w:r>
    </w:p>
    <w:p>
      <w:pPr>
        <w:pStyle w:val="Compact"/>
        <w:numPr>
          <w:ilvl w:val="0"/>
          <w:numId w:val="1001"/>
        </w:numPr>
      </w:pPr>
      <w:r>
        <w:t xml:space="preserve">Transaction categorization</w:t>
      </w:r>
    </w:p>
    <w:p>
      <w:pPr>
        <w:pStyle w:val="Compact"/>
        <w:numPr>
          <w:ilvl w:val="0"/>
          <w:numId w:val="1001"/>
        </w:numPr>
      </w:pPr>
      <w:r>
        <w:t xml:space="preserve">Budget tracking</w:t>
      </w:r>
    </w:p>
    <w:p>
      <w:pPr>
        <w:pStyle w:val="Compact"/>
        <w:numPr>
          <w:ilvl w:val="0"/>
          <w:numId w:val="1001"/>
        </w:numPr>
      </w:pPr>
      <w:r>
        <w:t xml:space="preserve">Credit score monitoring</w:t>
      </w:r>
    </w:p>
    <w:p>
      <w:pPr>
        <w:pStyle w:val="Compact"/>
        <w:numPr>
          <w:ilvl w:val="0"/>
          <w:numId w:val="1001"/>
        </w:numPr>
      </w:pPr>
      <w:r>
        <w:t xml:space="preserve">Spending reports</w:t>
      </w:r>
    </w:p>
    <w:p>
      <w:pPr>
        <w:pStyle w:val="FirstParagraph"/>
      </w:pPr>
      <w:r>
        <w:t xml:space="preserve">These solutions help users understand what happened.</w:t>
      </w:r>
    </w:p>
    <w:p>
      <w:pPr>
        <w:pStyle w:val="BodyText"/>
      </w:pPr>
      <w:r>
        <w:t xml:space="preserve">They rarely help users determine:</w:t>
      </w:r>
    </w:p>
    <w:p>
      <w:pPr>
        <w:pStyle w:val="Compact"/>
        <w:numPr>
          <w:ilvl w:val="0"/>
          <w:numId w:val="1002"/>
        </w:numPr>
      </w:pPr>
      <w:r>
        <w:t xml:space="preserve">What should I do next?</w:t>
      </w:r>
    </w:p>
    <w:p>
      <w:pPr>
        <w:pStyle w:val="Compact"/>
        <w:numPr>
          <w:ilvl w:val="0"/>
          <w:numId w:val="1002"/>
        </w:numPr>
      </w:pPr>
      <w:r>
        <w:t xml:space="preserve">Which financial action will have the biggest impact?</w:t>
      </w:r>
    </w:p>
    <w:p>
      <w:pPr>
        <w:pStyle w:val="Compact"/>
        <w:numPr>
          <w:ilvl w:val="0"/>
          <w:numId w:val="1002"/>
        </w:numPr>
      </w:pPr>
      <w:r>
        <w:t xml:space="preserve">Am I becoming more financially resilient?</w:t>
      </w:r>
    </w:p>
    <w:p>
      <w:pPr>
        <w:pStyle w:val="Compact"/>
        <w:numPr>
          <w:ilvl w:val="0"/>
          <w:numId w:val="1002"/>
        </w:numPr>
      </w:pPr>
      <w:r>
        <w:t xml:space="preserve">Am I prepared for unexpected events?</w:t>
      </w:r>
    </w:p>
    <w:p>
      <w:pPr>
        <w:pStyle w:val="FirstParagraph"/>
      </w:pPr>
      <w:r>
        <w:t xml:space="preserve">As a result, many consumers remain financially vulnerable despite using multiple financial tools.</w:t>
      </w:r>
    </w:p>
    <w:p>
      <w:r>
        <w:pict>
          <v:rect style="width:0;height:1.5pt" o:hralign="center" o:hrstd="t" o:hr="t"/>
        </w:pict>
      </w:r>
    </w:p>
    <w:bookmarkEnd w:id="26"/>
    <w:bookmarkStart w:id="30" w:name="why-now"/>
    <w:p>
      <w:pPr>
        <w:pStyle w:val="Heading1"/>
      </w:pPr>
      <w:r>
        <w:t xml:space="preserve">Why Now</w:t>
      </w:r>
    </w:p>
    <w:p>
      <w:pPr>
        <w:pStyle w:val="FirstParagraph"/>
      </w:pPr>
      <w:r>
        <w:t xml:space="preserve">Three major trends make NeoClarity possible today:</w:t>
      </w:r>
    </w:p>
    <w:bookmarkStart w:id="27" w:name="open-banking-adoption"/>
    <w:p>
      <w:pPr>
        <w:pStyle w:val="Heading3"/>
      </w:pPr>
      <w:r>
        <w:t xml:space="preserve">Open Banking Adoption</w:t>
      </w:r>
    </w:p>
    <w:p>
      <w:pPr>
        <w:pStyle w:val="FirstParagraph"/>
      </w:pPr>
      <w:r>
        <w:t xml:space="preserve">Consumers increasingly expect secure access to financial information across institutions.</w:t>
      </w:r>
    </w:p>
    <w:p>
      <w:pPr>
        <w:pStyle w:val="BodyText"/>
      </w:pPr>
      <w:r>
        <w:t xml:space="preserve">Open Banking enables a unified view of household finances.</w:t>
      </w:r>
    </w:p>
    <w:bookmarkEnd w:id="27"/>
    <w:bookmarkStart w:id="28" w:name="ai-maturity"/>
    <w:p>
      <w:pPr>
        <w:pStyle w:val="Heading3"/>
      </w:pPr>
      <w:r>
        <w:t xml:space="preserve">AI Maturity</w:t>
      </w:r>
    </w:p>
    <w:p>
      <w:pPr>
        <w:pStyle w:val="FirstParagraph"/>
      </w:pPr>
      <w:r>
        <w:t xml:space="preserve">Large Language Models and Agentic AI systems now enable personalized reasoning and recommendation generation at scale.</w:t>
      </w:r>
    </w:p>
    <w:bookmarkEnd w:id="28"/>
    <w:bookmarkStart w:id="29" w:name="financial-stress"/>
    <w:p>
      <w:pPr>
        <w:pStyle w:val="Heading3"/>
      </w:pPr>
      <w:r>
        <w:t xml:space="preserve">Financial Stress</w:t>
      </w:r>
    </w:p>
    <w:p>
      <w:pPr>
        <w:pStyle w:val="FirstParagraph"/>
      </w:pPr>
      <w:r>
        <w:t xml:space="preserve">Many households continue to face:</w:t>
      </w:r>
    </w:p>
    <w:p>
      <w:pPr>
        <w:pStyle w:val="Compact"/>
        <w:numPr>
          <w:ilvl w:val="0"/>
          <w:numId w:val="1003"/>
        </w:numPr>
      </w:pPr>
      <w:r>
        <w:t xml:space="preserve">Rising living costs</w:t>
      </w:r>
    </w:p>
    <w:p>
      <w:pPr>
        <w:pStyle w:val="Compact"/>
        <w:numPr>
          <w:ilvl w:val="0"/>
          <w:numId w:val="1003"/>
        </w:numPr>
      </w:pPr>
      <w:r>
        <w:t xml:space="preserve">Insufficient emergency savings</w:t>
      </w:r>
    </w:p>
    <w:p>
      <w:pPr>
        <w:pStyle w:val="Compact"/>
        <w:numPr>
          <w:ilvl w:val="0"/>
          <w:numId w:val="1003"/>
        </w:numPr>
      </w:pPr>
      <w:r>
        <w:t xml:space="preserve">Increased debt obligations</w:t>
      </w:r>
    </w:p>
    <w:p>
      <w:pPr>
        <w:pStyle w:val="Compact"/>
        <w:numPr>
          <w:ilvl w:val="0"/>
          <w:numId w:val="1003"/>
        </w:numPr>
      </w:pPr>
      <w:r>
        <w:t xml:space="preserve">Economic uncertainty</w:t>
      </w:r>
    </w:p>
    <w:p>
      <w:pPr>
        <w:pStyle w:val="FirstParagraph"/>
      </w:pPr>
      <w:r>
        <w:t xml:space="preserve">Consumers need guidance rather than additional dashboards.</w:t>
      </w:r>
    </w:p>
    <w:p>
      <w:r>
        <w:pict>
          <v:rect style="width:0;height:1.5pt" o:hralign="center" o:hrstd="t" o:hr="t"/>
        </w:pict>
      </w:r>
    </w:p>
    <w:bookmarkEnd w:id="29"/>
    <w:bookmarkEnd w:id="30"/>
    <w:bookmarkStart w:id="31" w:name="product-vision"/>
    <w:p>
      <w:pPr>
        <w:pStyle w:val="Heading1"/>
      </w:pPr>
      <w:r>
        <w:t xml:space="preserve">Product Vision</w:t>
      </w:r>
    </w:p>
    <w:p>
      <w:pPr>
        <w:pStyle w:val="FirstParagraph"/>
      </w:pPr>
      <w:r>
        <w:t xml:space="preserve">NeoClarity is not a budgeting application.</w:t>
      </w:r>
    </w:p>
    <w:p>
      <w:pPr>
        <w:pStyle w:val="BodyText"/>
      </w:pPr>
      <w:r>
        <w:t xml:space="preserve">NeoClarity is not a transaction viewer.</w:t>
      </w:r>
    </w:p>
    <w:p>
      <w:pPr>
        <w:pStyle w:val="BodyText"/>
      </w:pPr>
      <w:r>
        <w:t xml:space="preserve">NeoClarity is a Financial Resilience Coach.</w:t>
      </w:r>
    </w:p>
    <w:p>
      <w:pPr>
        <w:pStyle w:val="BodyText"/>
      </w:pPr>
      <w:r>
        <w:t xml:space="preserve">The platform continuously transforms household financial activity into meaningful context and actionable guidance.</w:t>
      </w:r>
    </w:p>
    <w:p>
      <w:pPr>
        <w:pStyle w:val="BodyText"/>
      </w:pPr>
      <w:r>
        <w:t xml:space="preserve">Every customer interaction should answer a single question:</w:t>
      </w:r>
    </w:p>
    <w:p>
      <w:pPr>
        <w:pStyle w:val="BodyText"/>
      </w:pPr>
      <w:r>
        <w:t xml:space="preserve">“What is the most important financial action I should take today?”</w:t>
      </w:r>
    </w:p>
    <w:p>
      <w:r>
        <w:pict>
          <v:rect style="width:0;height:1.5pt" o:hralign="center" o:hrstd="t" o:hr="t"/>
        </w:pict>
      </w:r>
    </w:p>
    <w:bookmarkEnd w:id="31"/>
    <w:bookmarkStart w:id="37" w:name="strategic-differentiators"/>
    <w:p>
      <w:pPr>
        <w:pStyle w:val="Heading1"/>
      </w:pPr>
      <w:r>
        <w:t xml:space="preserve">Strategic Differentiators</w:t>
      </w:r>
    </w:p>
    <w:bookmarkStart w:id="32" w:name="household-digital-twin"/>
    <w:p>
      <w:pPr>
        <w:pStyle w:val="Heading2"/>
      </w:pPr>
      <w:r>
        <w:t xml:space="preserve">Household Digital Twin</w:t>
      </w:r>
    </w:p>
    <w:p>
      <w:pPr>
        <w:pStyle w:val="FirstParagraph"/>
      </w:pPr>
      <w:r>
        <w:t xml:space="preserve">NeoClarity creates a relationship-aware digital representation of a household’s financial life.</w:t>
      </w:r>
    </w:p>
    <w:p>
      <w:pPr>
        <w:pStyle w:val="BodyText"/>
      </w:pPr>
      <w:r>
        <w:t xml:space="preserve">The Twin models:</w:t>
      </w:r>
    </w:p>
    <w:p>
      <w:pPr>
        <w:pStyle w:val="Compact"/>
        <w:numPr>
          <w:ilvl w:val="0"/>
          <w:numId w:val="1004"/>
        </w:numPr>
      </w:pPr>
      <w:r>
        <w:t xml:space="preserve">Accounts</w:t>
      </w:r>
    </w:p>
    <w:p>
      <w:pPr>
        <w:pStyle w:val="Compact"/>
        <w:numPr>
          <w:ilvl w:val="0"/>
          <w:numId w:val="1004"/>
        </w:numPr>
      </w:pPr>
      <w:r>
        <w:t xml:space="preserve">Transactions</w:t>
      </w:r>
    </w:p>
    <w:p>
      <w:pPr>
        <w:pStyle w:val="Compact"/>
        <w:numPr>
          <w:ilvl w:val="0"/>
          <w:numId w:val="1004"/>
        </w:numPr>
      </w:pPr>
      <w:r>
        <w:t xml:space="preserve">Goals</w:t>
      </w:r>
    </w:p>
    <w:p>
      <w:pPr>
        <w:pStyle w:val="Compact"/>
        <w:numPr>
          <w:ilvl w:val="0"/>
          <w:numId w:val="1004"/>
        </w:numPr>
      </w:pPr>
      <w:r>
        <w:t xml:space="preserve">Financial events</w:t>
      </w:r>
    </w:p>
    <w:p>
      <w:pPr>
        <w:pStyle w:val="Compact"/>
        <w:numPr>
          <w:ilvl w:val="0"/>
          <w:numId w:val="1004"/>
        </w:numPr>
      </w:pPr>
      <w:r>
        <w:t xml:space="preserve">Recommendations</w:t>
      </w:r>
    </w:p>
    <w:p>
      <w:pPr>
        <w:pStyle w:val="Compact"/>
        <w:numPr>
          <w:ilvl w:val="0"/>
          <w:numId w:val="1004"/>
        </w:numPr>
      </w:pPr>
      <w:r>
        <w:t xml:space="preserve">Customer context</w:t>
      </w:r>
    </w:p>
    <w:p>
      <w:pPr>
        <w:pStyle w:val="FirstParagraph"/>
      </w:pPr>
      <w:r>
        <w:t xml:space="preserve">This provides significantly richer reasoning than traditional account-centric financial applications.</w:t>
      </w:r>
    </w:p>
    <w:p>
      <w:r>
        <w:pict>
          <v:rect style="width:0;height:1.5pt" o:hralign="center" o:hrstd="t" o:hr="t"/>
        </w:pict>
      </w:r>
    </w:p>
    <w:bookmarkEnd w:id="32"/>
    <w:bookmarkStart w:id="33" w:name="event-intelligence"/>
    <w:p>
      <w:pPr>
        <w:pStyle w:val="Heading2"/>
      </w:pPr>
      <w:r>
        <w:t xml:space="preserve">Event Intelligence</w:t>
      </w:r>
    </w:p>
    <w:p>
      <w:pPr>
        <w:pStyle w:val="FirstParagraph"/>
      </w:pPr>
      <w:r>
        <w:t xml:space="preserve">NeoClarity identifies meaningful financial events from transaction patterns.</w:t>
      </w:r>
    </w:p>
    <w:p>
      <w:pPr>
        <w:pStyle w:val="BodyText"/>
      </w:pPr>
      <w:r>
        <w:t xml:space="preserve">Examples include:</w:t>
      </w:r>
    </w:p>
    <w:p>
      <w:pPr>
        <w:pStyle w:val="Compact"/>
        <w:numPr>
          <w:ilvl w:val="0"/>
          <w:numId w:val="1005"/>
        </w:numPr>
      </w:pPr>
      <w:r>
        <w:t xml:space="preserve">Family vacations</w:t>
      </w:r>
    </w:p>
    <w:p>
      <w:pPr>
        <w:pStyle w:val="Compact"/>
        <w:numPr>
          <w:ilvl w:val="0"/>
          <w:numId w:val="1005"/>
        </w:numPr>
      </w:pPr>
      <w:r>
        <w:t xml:space="preserve">Home renovations</w:t>
      </w:r>
    </w:p>
    <w:p>
      <w:pPr>
        <w:pStyle w:val="Compact"/>
        <w:numPr>
          <w:ilvl w:val="0"/>
          <w:numId w:val="1005"/>
        </w:numPr>
      </w:pPr>
      <w:r>
        <w:t xml:space="preserve">Child activities</w:t>
      </w:r>
    </w:p>
    <w:p>
      <w:pPr>
        <w:pStyle w:val="Compact"/>
        <w:numPr>
          <w:ilvl w:val="0"/>
          <w:numId w:val="1005"/>
        </w:numPr>
      </w:pPr>
      <w:r>
        <w:t xml:space="preserve">Medical expenses</w:t>
      </w:r>
    </w:p>
    <w:p>
      <w:pPr>
        <w:pStyle w:val="Compact"/>
        <w:numPr>
          <w:ilvl w:val="0"/>
          <w:numId w:val="1005"/>
        </w:numPr>
      </w:pPr>
      <w:r>
        <w:t xml:space="preserve">College preparation</w:t>
      </w:r>
    </w:p>
    <w:p>
      <w:pPr>
        <w:pStyle w:val="FirstParagraph"/>
      </w:pPr>
      <w:r>
        <w:t xml:space="preserve">The platform converts raw transactions into understandable financial stories.</w:t>
      </w:r>
    </w:p>
    <w:p>
      <w:r>
        <w:pict>
          <v:rect style="width:0;height:1.5pt" o:hralign="center" o:hrstd="t" o:hr="t"/>
        </w:pict>
      </w:r>
    </w:p>
    <w:bookmarkEnd w:id="33"/>
    <w:bookmarkStart w:id="34" w:name="financial-resilience-score"/>
    <w:p>
      <w:pPr>
        <w:pStyle w:val="Heading2"/>
      </w:pPr>
      <w:r>
        <w:t xml:space="preserve">Financial Resilience Score</w:t>
      </w:r>
    </w:p>
    <w:p>
      <w:pPr>
        <w:pStyle w:val="FirstParagraph"/>
      </w:pPr>
      <w:r>
        <w:t xml:space="preserve">The platform measures overall financial resilience rather than focusing solely on spending or credit metrics.</w:t>
      </w:r>
    </w:p>
    <w:p>
      <w:pPr>
        <w:pStyle w:val="BodyText"/>
      </w:pPr>
      <w:r>
        <w:t xml:space="preserve">The score incorporates:</w:t>
      </w:r>
    </w:p>
    <w:p>
      <w:pPr>
        <w:pStyle w:val="Compact"/>
        <w:numPr>
          <w:ilvl w:val="0"/>
          <w:numId w:val="1006"/>
        </w:numPr>
      </w:pPr>
      <w:r>
        <w:t xml:space="preserve">Emergency savings coverage</w:t>
      </w:r>
    </w:p>
    <w:p>
      <w:pPr>
        <w:pStyle w:val="Compact"/>
        <w:numPr>
          <w:ilvl w:val="0"/>
          <w:numId w:val="1006"/>
        </w:numPr>
      </w:pPr>
      <w:r>
        <w:t xml:space="preserve">Debt burden</w:t>
      </w:r>
    </w:p>
    <w:p>
      <w:pPr>
        <w:pStyle w:val="Compact"/>
        <w:numPr>
          <w:ilvl w:val="0"/>
          <w:numId w:val="1006"/>
        </w:numPr>
      </w:pPr>
      <w:r>
        <w:t xml:space="preserve">Goal readiness</w:t>
      </w:r>
    </w:p>
    <w:p>
      <w:pPr>
        <w:pStyle w:val="Compact"/>
        <w:numPr>
          <w:ilvl w:val="0"/>
          <w:numId w:val="1006"/>
        </w:numPr>
      </w:pPr>
      <w:r>
        <w:t xml:space="preserve">Cash flow stability</w:t>
      </w:r>
    </w:p>
    <w:p>
      <w:pPr>
        <w:pStyle w:val="Compact"/>
        <w:numPr>
          <w:ilvl w:val="0"/>
          <w:numId w:val="1006"/>
        </w:numPr>
      </w:pPr>
      <w:r>
        <w:t xml:space="preserve">Event preparedness</w:t>
      </w:r>
    </w:p>
    <w:p>
      <w:r>
        <w:pict>
          <v:rect style="width:0;height:1.5pt" o:hralign="center" o:hrstd="t" o:hr="t"/>
        </w:pict>
      </w:r>
    </w:p>
    <w:bookmarkEnd w:id="34"/>
    <w:bookmarkStart w:id="35" w:name="supervised-ai-agents"/>
    <w:p>
      <w:pPr>
        <w:pStyle w:val="Heading2"/>
      </w:pPr>
      <w:r>
        <w:t xml:space="preserve">Supervised AI Agents</w:t>
      </w:r>
    </w:p>
    <w:p>
      <w:pPr>
        <w:pStyle w:val="FirstParagraph"/>
      </w:pPr>
      <w:r>
        <w:t xml:space="preserve">Specialized agents collaborate to evaluate financial health, identify goals, detect events, and generate recommendations.</w:t>
      </w:r>
    </w:p>
    <w:p>
      <w:pPr>
        <w:pStyle w:val="BodyText"/>
      </w:pPr>
      <w:r>
        <w:t xml:space="preserve">All recommendations pass through a supervisory orchestration layer before being presented to customers.</w:t>
      </w:r>
    </w:p>
    <w:p>
      <w:r>
        <w:pict>
          <v:rect style="width:0;height:1.5pt" o:hralign="center" o:hrstd="t" o:hr="t"/>
        </w:pict>
      </w:r>
    </w:p>
    <w:bookmarkEnd w:id="35"/>
    <w:bookmarkStart w:id="36" w:name="human-in-the-loop-governance"/>
    <w:p>
      <w:pPr>
        <w:pStyle w:val="Heading2"/>
      </w:pPr>
      <w:r>
        <w:t xml:space="preserve">Human-in-the-Loop Governance</w:t>
      </w:r>
    </w:p>
    <w:p>
      <w:pPr>
        <w:pStyle w:val="FirstParagraph"/>
      </w:pPr>
      <w:r>
        <w:t xml:space="preserve">NeoClarity recommends.</w:t>
      </w:r>
    </w:p>
    <w:p>
      <w:pPr>
        <w:pStyle w:val="BodyText"/>
      </w:pPr>
      <w:r>
        <w:t xml:space="preserve">The customer decides.</w:t>
      </w:r>
    </w:p>
    <w:p>
      <w:pPr>
        <w:pStyle w:val="BodyText"/>
      </w:pPr>
      <w:r>
        <w:t xml:space="preserve">The platform never performs autonomous financial actions.</w:t>
      </w:r>
    </w:p>
    <w:p>
      <w:pPr>
        <w:pStyle w:val="BodyText"/>
      </w:pPr>
      <w:r>
        <w:t xml:space="preserve">All recommendations require customer approval.</w:t>
      </w:r>
    </w:p>
    <w:p>
      <w:r>
        <w:pict>
          <v:rect style="width:0;height:1.5pt" o:hralign="center" o:hrstd="t" o:hr="t"/>
        </w:pict>
      </w:r>
    </w:p>
    <w:bookmarkEnd w:id="36"/>
    <w:bookmarkEnd w:id="37"/>
    <w:bookmarkStart w:id="38" w:name="target-customers"/>
    <w:p>
      <w:pPr>
        <w:pStyle w:val="Heading1"/>
      </w:pPr>
      <w:r>
        <w:t xml:space="preserve">Target Customers</w:t>
      </w:r>
    </w:p>
    <w:p>
      <w:pPr>
        <w:pStyle w:val="FirstParagraph"/>
      </w:pPr>
      <w:r>
        <w:t xml:space="preserve">Primary Audience:</w:t>
      </w:r>
    </w:p>
    <w:p>
      <w:pPr>
        <w:pStyle w:val="Compact"/>
        <w:numPr>
          <w:ilvl w:val="0"/>
          <w:numId w:val="1007"/>
        </w:numPr>
      </w:pPr>
      <w:r>
        <w:t xml:space="preserve">Banking customers</w:t>
      </w:r>
    </w:p>
    <w:p>
      <w:pPr>
        <w:pStyle w:val="Compact"/>
        <w:numPr>
          <w:ilvl w:val="0"/>
          <w:numId w:val="1007"/>
        </w:numPr>
      </w:pPr>
      <w:r>
        <w:t xml:space="preserve">Families</w:t>
      </w:r>
    </w:p>
    <w:p>
      <w:pPr>
        <w:pStyle w:val="Compact"/>
        <w:numPr>
          <w:ilvl w:val="0"/>
          <w:numId w:val="1007"/>
        </w:numPr>
      </w:pPr>
      <w:r>
        <w:t xml:space="preserve">Homeowners</w:t>
      </w:r>
    </w:p>
    <w:p>
      <w:pPr>
        <w:pStyle w:val="Compact"/>
        <w:numPr>
          <w:ilvl w:val="0"/>
          <w:numId w:val="1007"/>
        </w:numPr>
      </w:pPr>
      <w:r>
        <w:t xml:space="preserve">Goal-oriented savers</w:t>
      </w:r>
    </w:p>
    <w:p>
      <w:pPr>
        <w:pStyle w:val="Compact"/>
        <w:numPr>
          <w:ilvl w:val="0"/>
          <w:numId w:val="1007"/>
        </w:numPr>
      </w:pPr>
      <w:r>
        <w:t xml:space="preserve">Individuals seeking financial guidance</w:t>
      </w:r>
    </w:p>
    <w:p>
      <w:pPr>
        <w:pStyle w:val="FirstParagraph"/>
      </w:pPr>
      <w:r>
        <w:t xml:space="preserve">Secondary Audience:</w:t>
      </w:r>
    </w:p>
    <w:p>
      <w:pPr>
        <w:pStyle w:val="Compact"/>
        <w:numPr>
          <w:ilvl w:val="0"/>
          <w:numId w:val="1008"/>
        </w:numPr>
      </w:pPr>
      <w:r>
        <w:t xml:space="preserve">Financial institutions</w:t>
      </w:r>
    </w:p>
    <w:p>
      <w:pPr>
        <w:pStyle w:val="Compact"/>
        <w:numPr>
          <w:ilvl w:val="0"/>
          <w:numId w:val="1008"/>
        </w:numPr>
      </w:pPr>
      <w:r>
        <w:t xml:space="preserve">Wealth management organizations</w:t>
      </w:r>
    </w:p>
    <w:p>
      <w:pPr>
        <w:pStyle w:val="Compact"/>
        <w:numPr>
          <w:ilvl w:val="0"/>
          <w:numId w:val="1008"/>
        </w:numPr>
      </w:pPr>
      <w:r>
        <w:t xml:space="preserve">Digital banking platforms</w:t>
      </w:r>
    </w:p>
    <w:p>
      <w:r>
        <w:pict>
          <v:rect style="width:0;height:1.5pt" o:hralign="center" o:hrstd="t" o:hr="t"/>
        </w:pict>
      </w:r>
    </w:p>
    <w:bookmarkEnd w:id="38"/>
    <w:bookmarkStart w:id="39" w:name="north-star-metric"/>
    <w:p>
      <w:pPr>
        <w:pStyle w:val="Heading1"/>
      </w:pPr>
      <w:r>
        <w:t xml:space="preserve">North Star Metric</w:t>
      </w:r>
    </w:p>
    <w:p>
      <w:pPr>
        <w:pStyle w:val="FirstParagraph"/>
      </w:pPr>
      <w:r>
        <w:t xml:space="preserve">Percentage of customers who improve their Financial Resilience Score over a rolling 90-day period.</w:t>
      </w:r>
    </w:p>
    <w:p>
      <w:r>
        <w:pict>
          <v:rect style="width:0;height:1.5pt" o:hralign="center" o:hrstd="t" o:hr="t"/>
        </w:pict>
      </w:r>
    </w:p>
    <w:bookmarkEnd w:id="39"/>
    <w:bookmarkStart w:id="40" w:name="success-metrics"/>
    <w:p>
      <w:pPr>
        <w:pStyle w:val="Heading1"/>
      </w:pPr>
      <w:r>
        <w:t xml:space="preserve">Success Metrics</w:t>
      </w:r>
    </w:p>
    <w:p>
      <w:pPr>
        <w:pStyle w:val="FirstParagraph"/>
      </w:pPr>
      <w:r>
        <w:t xml:space="preserve">Customer Outcomes</w:t>
      </w:r>
    </w:p>
    <w:p>
      <w:pPr>
        <w:pStyle w:val="Compact"/>
        <w:numPr>
          <w:ilvl w:val="0"/>
          <w:numId w:val="1009"/>
        </w:numPr>
      </w:pPr>
      <w:r>
        <w:t xml:space="preserve">Resilience Score Improvement Rate</w:t>
      </w:r>
    </w:p>
    <w:p>
      <w:pPr>
        <w:pStyle w:val="Compact"/>
        <w:numPr>
          <w:ilvl w:val="0"/>
          <w:numId w:val="1009"/>
        </w:numPr>
      </w:pPr>
      <w:r>
        <w:t xml:space="preserve">Goal Completion Rate</w:t>
      </w:r>
    </w:p>
    <w:p>
      <w:pPr>
        <w:pStyle w:val="Compact"/>
        <w:numPr>
          <w:ilvl w:val="0"/>
          <w:numId w:val="1009"/>
        </w:numPr>
      </w:pPr>
      <w:r>
        <w:t xml:space="preserve">Emergency Fund Growth</w:t>
      </w:r>
    </w:p>
    <w:p>
      <w:pPr>
        <w:pStyle w:val="Compact"/>
        <w:numPr>
          <w:ilvl w:val="0"/>
          <w:numId w:val="1009"/>
        </w:numPr>
      </w:pPr>
      <w:r>
        <w:t xml:space="preserve">Recommendation Acceptance Rate</w:t>
      </w:r>
    </w:p>
    <w:p>
      <w:pPr>
        <w:pStyle w:val="FirstParagraph"/>
      </w:pPr>
      <w:r>
        <w:t xml:space="preserve">Platform Outcomes</w:t>
      </w:r>
    </w:p>
    <w:p>
      <w:pPr>
        <w:pStyle w:val="Compact"/>
        <w:numPr>
          <w:ilvl w:val="0"/>
          <w:numId w:val="1010"/>
        </w:numPr>
      </w:pPr>
      <w:r>
        <w:t xml:space="preserve">Time to First Insight (&lt;5 minutes)</w:t>
      </w:r>
    </w:p>
    <w:p>
      <w:pPr>
        <w:pStyle w:val="Compact"/>
        <w:numPr>
          <w:ilvl w:val="0"/>
          <w:numId w:val="1010"/>
        </w:numPr>
      </w:pPr>
      <w:r>
        <w:t xml:space="preserve">Event Detection Accuracy</w:t>
      </w:r>
    </w:p>
    <w:p>
      <w:pPr>
        <w:pStyle w:val="Compact"/>
        <w:numPr>
          <w:ilvl w:val="0"/>
          <w:numId w:val="1010"/>
        </w:numPr>
      </w:pPr>
      <w:r>
        <w:t xml:space="preserve">Recommendation Accuracy</w:t>
      </w:r>
    </w:p>
    <w:p>
      <w:pPr>
        <w:pStyle w:val="Compact"/>
        <w:numPr>
          <w:ilvl w:val="0"/>
          <w:numId w:val="1010"/>
        </w:numPr>
      </w:pPr>
      <w:r>
        <w:t xml:space="preserve">Recommendation Explainability Coverage</w:t>
      </w:r>
    </w:p>
    <w:p>
      <w:pPr>
        <w:pStyle w:val="FirstParagraph"/>
      </w:pPr>
      <w:r>
        <w:t xml:space="preserve">Business Outcomes</w:t>
      </w:r>
    </w:p>
    <w:p>
      <w:pPr>
        <w:pStyle w:val="Compact"/>
        <w:numPr>
          <w:ilvl w:val="0"/>
          <w:numId w:val="1011"/>
        </w:numPr>
      </w:pPr>
      <w:r>
        <w:t xml:space="preserve">Customer Engagement</w:t>
      </w:r>
    </w:p>
    <w:p>
      <w:pPr>
        <w:pStyle w:val="Compact"/>
        <w:numPr>
          <w:ilvl w:val="0"/>
          <w:numId w:val="1011"/>
        </w:numPr>
      </w:pPr>
      <w:r>
        <w:t xml:space="preserve">Retention</w:t>
      </w:r>
    </w:p>
    <w:p>
      <w:pPr>
        <w:pStyle w:val="Compact"/>
        <w:numPr>
          <w:ilvl w:val="0"/>
          <w:numId w:val="1011"/>
        </w:numPr>
      </w:pPr>
      <w:r>
        <w:t xml:space="preserve">Trust Scores</w:t>
      </w:r>
    </w:p>
    <w:p>
      <w:pPr>
        <w:pStyle w:val="Compact"/>
        <w:numPr>
          <w:ilvl w:val="0"/>
          <w:numId w:val="1011"/>
        </w:numPr>
      </w:pPr>
      <w:r>
        <w:t xml:space="preserve">Cross-Sell Readiness</w:t>
      </w:r>
    </w:p>
    <w:p>
      <w:r>
        <w:pict>
          <v:rect style="width:0;height:1.5pt" o:hralign="center" o:hrstd="t" o:hr="t"/>
        </w:pict>
      </w:r>
    </w:p>
    <w:bookmarkEnd w:id="40"/>
    <w:bookmarkStart w:id="41" w:name="long-term-vision"/>
    <w:p>
      <w:pPr>
        <w:pStyle w:val="Heading1"/>
      </w:pPr>
      <w:r>
        <w:t xml:space="preserve">Long-Term Vision</w:t>
      </w:r>
    </w:p>
    <w:p>
      <w:pPr>
        <w:pStyle w:val="FirstParagraph"/>
      </w:pPr>
      <w:r>
        <w:t xml:space="preserve">NeoClarity will evolve into a Financial Operating System for households.</w:t>
      </w:r>
    </w:p>
    <w:p>
      <w:pPr>
        <w:pStyle w:val="BodyText"/>
      </w:pPr>
      <w:r>
        <w:t xml:space="preserve">The platform will continuously understand customer context, identify opportunities, recommend actions, and help customers build stronger financial futures.</w:t>
      </w:r>
    </w:p>
    <w:p>
      <w:pPr>
        <w:pStyle w:val="BodyText"/>
      </w:pPr>
      <w:r>
        <w:t xml:space="preserve">The ultimate goal is to shift the financial services industry from information delivery to outcome-driven financial guidance.</w:t>
      </w:r>
    </w:p>
    <w:p>
      <w:r>
        <w:pict>
          <v:rect style="width:0;height:1.5pt" o:hralign="center" o:hrstd="t" o:hr="t"/>
        </w:pict>
      </w:r>
    </w:p>
    <w:bookmarkEnd w:id="41"/>
    <w:bookmarkStart w:id="42" w:name="product-tagline"/>
    <w:p>
      <w:pPr>
        <w:pStyle w:val="Heading1"/>
      </w:pPr>
      <w:r>
        <w:t xml:space="preserve">Product Tagline</w:t>
      </w:r>
    </w:p>
    <w:p>
      <w:pPr>
        <w:pStyle w:val="FirstParagraph"/>
      </w:pPr>
      <w:r>
        <w:t xml:space="preserve">NeoClarity</w:t>
      </w:r>
    </w:p>
    <w:p>
      <w:pPr>
        <w:pStyle w:val="BodyText"/>
      </w:pPr>
      <w:r>
        <w:t xml:space="preserve">Financial Clarity. Trusted Action. Stronger Resilience.</w:t>
      </w:r>
    </w:p>
    <w:p>
      <w:r>
        <w:pict>
          <v:rect style="width:0;height:1.5pt" o:hralign="center" o:hrstd="t" o:hr="t"/>
        </w:pict>
      </w:r>
    </w:p>
    <w:p>
      <w:pPr>
        <w:pStyle w:val="FirstParagraph"/>
      </w:pPr>
      <w:r>
        <w:t xml:space="preserve">Status: Approved</w:t>
      </w:r>
    </w:p>
    <w:p>
      <w:pPr>
        <w:pStyle w:val="BodyText"/>
      </w:pPr>
      <w:r>
        <w:t xml:space="preserve">Version: 1.0</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2026-06-15T06:40:30Z</dcterms:created>
  <dcterms:modified xsi:type="dcterms:W3CDTF">2026-06-15T06:40:30Z</dcterms:modified>
</cp:coreProperties>
</file>

<file path=docProps/custom.xml><?xml version="1.0" encoding="utf-8"?>
<Properties xmlns="http://schemas.openxmlformats.org/officeDocument/2006/custom-properties" xmlns:vt="http://schemas.openxmlformats.org/officeDocument/2006/docPropsVTypes"/>
</file>