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eoclarity"/>
    <w:p>
      <w:pPr>
        <w:pStyle w:val="Heading1"/>
      </w:pPr>
      <w:r>
        <w:t xml:space="preserve">NeoClarity</w:t>
      </w:r>
    </w:p>
    <w:bookmarkStart w:id="21" w:name="solution-architecture"/>
    <w:p>
      <w:pPr>
        <w:pStyle w:val="Heading2"/>
      </w:pPr>
      <w:r>
        <w:t xml:space="preserve">Solution Architecture</w:t>
      </w:r>
    </w:p>
    <w:bookmarkStart w:id="20" w:name="version-4.1-frozen"/>
    <w:p>
      <w:pPr>
        <w:pStyle w:val="Heading3"/>
      </w:pPr>
      <w:r>
        <w:t xml:space="preserve">Version 4.1 (Frozen)</w:t>
      </w:r>
    </w:p>
    <w:p>
      <w:pPr>
        <w:pStyle w:val="FirstParagraph"/>
      </w:pPr>
      <w:r>
        <w:t xml:space="preserve">Status: Approved for MVP Development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NeoClarity is an AI-powered Financial Resilience Platform that combines Open Banking, Graph Intelligence, Household Digital Twin technology, and Supervised AI Agents to provide trusted financial guidance.</w:t>
      </w:r>
    </w:p>
    <w:p>
      <w:pPr>
        <w:pStyle w:val="BodyText"/>
      </w:pPr>
      <w:r>
        <w:t xml:space="preserve">The architecture is designed around four principles:</w:t>
      </w:r>
    </w:p>
    <w:p>
      <w:pPr>
        <w:pStyle w:val="Compact"/>
        <w:numPr>
          <w:ilvl w:val="0"/>
          <w:numId w:val="1001"/>
        </w:numPr>
      </w:pPr>
      <w:r>
        <w:t xml:space="preserve">Financial Resilience First</w:t>
      </w:r>
    </w:p>
    <w:p>
      <w:pPr>
        <w:pStyle w:val="Compact"/>
        <w:numPr>
          <w:ilvl w:val="0"/>
          <w:numId w:val="1001"/>
        </w:numPr>
      </w:pPr>
      <w:r>
        <w:t xml:space="preserve">Human-in-the-Loop Governance</w:t>
      </w:r>
    </w:p>
    <w:p>
      <w:pPr>
        <w:pStyle w:val="Compact"/>
        <w:numPr>
          <w:ilvl w:val="0"/>
          <w:numId w:val="1001"/>
        </w:numPr>
      </w:pPr>
      <w:r>
        <w:t xml:space="preserve">Explainable AI</w:t>
      </w:r>
    </w:p>
    <w:p>
      <w:pPr>
        <w:pStyle w:val="Compact"/>
        <w:numPr>
          <w:ilvl w:val="0"/>
          <w:numId w:val="1001"/>
        </w:numPr>
      </w:pPr>
      <w:r>
        <w:t xml:space="preserve">Compliance by Design</w:t>
      </w:r>
    </w:p>
    <w:p>
      <w:pPr>
        <w:pStyle w:val="FirstParagraph"/>
      </w:pPr>
      <w:r>
        <w:t xml:space="preserve">The platform transforms fragmented financial data into a continuously evolving Household Digital Twin that serves as the foundation for financial assessment, event detection, goal planning, and recommendation generation.</w:t>
      </w:r>
    </w:p>
    <w:p>
      <w:r>
        <w:pict>
          <v:rect style="width:0;height:1.5pt" o:hralign="center" o:hrstd="t" o:hr="t"/>
        </w:pict>
      </w:r>
    </w:p>
    <w:bookmarkEnd w:id="23"/>
    <w:bookmarkStart w:id="29" w:name="architectural-principles"/>
    <w:p>
      <w:pPr>
        <w:pStyle w:val="Heading1"/>
      </w:pPr>
      <w:r>
        <w:t xml:space="preserve">2. Architectural Principles</w:t>
      </w:r>
    </w:p>
    <w:bookmarkStart w:id="24" w:name="ap-1-household-centric-design"/>
    <w:p>
      <w:pPr>
        <w:pStyle w:val="Heading2"/>
      </w:pPr>
      <w:r>
        <w:t xml:space="preserve">AP-1: Household-Centric Design</w:t>
      </w:r>
    </w:p>
    <w:p>
      <w:pPr>
        <w:pStyle w:val="FirstParagraph"/>
      </w:pPr>
      <w:r>
        <w:t xml:space="preserve">Traditional financial systems focus on accounts.</w:t>
      </w:r>
    </w:p>
    <w:p>
      <w:pPr>
        <w:pStyle w:val="BodyText"/>
      </w:pPr>
      <w:r>
        <w:t xml:space="preserve">NeoClarity focuses on households.</w:t>
      </w:r>
    </w:p>
    <w:p>
      <w:pPr>
        <w:pStyle w:val="BodyText"/>
      </w:pPr>
      <w:r>
        <w:t xml:space="preserve">All intelligence is derived from the Household Digital Twin.</w:t>
      </w:r>
    </w:p>
    <w:p>
      <w:r>
        <w:pict>
          <v:rect style="width:0;height:1.5pt" o:hralign="center" o:hrstd="t" o:hr="t"/>
        </w:pict>
      </w:r>
    </w:p>
    <w:bookmarkEnd w:id="24"/>
    <w:bookmarkStart w:id="25" w:name="ap-2-human-in-the-loop"/>
    <w:p>
      <w:pPr>
        <w:pStyle w:val="Heading2"/>
      </w:pPr>
      <w:r>
        <w:t xml:space="preserve">AP-2: Human-in-the-Loop</w:t>
      </w:r>
    </w:p>
    <w:p>
      <w:pPr>
        <w:pStyle w:val="FirstParagraph"/>
      </w:pPr>
      <w:r>
        <w:t xml:space="preserve">The platform recommends.</w:t>
      </w:r>
    </w:p>
    <w:p>
      <w:pPr>
        <w:pStyle w:val="BodyText"/>
      </w:pPr>
      <w:r>
        <w:t xml:space="preserve">The customer decides.</w:t>
      </w:r>
    </w:p>
    <w:p>
      <w:pPr>
        <w:pStyle w:val="BodyText"/>
      </w:pPr>
      <w:r>
        <w:t xml:space="preserve">No autonomous financial actions are permitted.</w:t>
      </w:r>
    </w:p>
    <w:p>
      <w:r>
        <w:pict>
          <v:rect style="width:0;height:1.5pt" o:hralign="center" o:hrstd="t" o:hr="t"/>
        </w:pict>
      </w:r>
    </w:p>
    <w:bookmarkEnd w:id="25"/>
    <w:bookmarkStart w:id="26" w:name="ap-3-explainability-first"/>
    <w:p>
      <w:pPr>
        <w:pStyle w:val="Heading2"/>
      </w:pPr>
      <w:r>
        <w:t xml:space="preserve">AP-3: Explainability First</w:t>
      </w:r>
    </w:p>
    <w:p>
      <w:pPr>
        <w:pStyle w:val="FirstParagraph"/>
      </w:pPr>
      <w:r>
        <w:t xml:space="preserve">Every recommendation must contain:</w:t>
      </w:r>
    </w:p>
    <w:p>
      <w:pPr>
        <w:pStyle w:val="Compact"/>
        <w:numPr>
          <w:ilvl w:val="0"/>
          <w:numId w:val="1002"/>
        </w:numPr>
      </w:pPr>
      <w:r>
        <w:t xml:space="preserve">Reason</w:t>
      </w:r>
    </w:p>
    <w:p>
      <w:pPr>
        <w:pStyle w:val="Compact"/>
        <w:numPr>
          <w:ilvl w:val="0"/>
          <w:numId w:val="1002"/>
        </w:numPr>
      </w:pPr>
      <w:r>
        <w:t xml:space="preserve">Evidence</w:t>
      </w:r>
    </w:p>
    <w:p>
      <w:pPr>
        <w:pStyle w:val="Compact"/>
        <w:numPr>
          <w:ilvl w:val="0"/>
          <w:numId w:val="1002"/>
        </w:numPr>
      </w:pPr>
      <w:r>
        <w:t xml:space="preserve">Expected Impact</w:t>
      </w:r>
    </w:p>
    <w:p>
      <w:pPr>
        <w:pStyle w:val="Compact"/>
        <w:numPr>
          <w:ilvl w:val="0"/>
          <w:numId w:val="1002"/>
        </w:numPr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bookmarkEnd w:id="26"/>
    <w:bookmarkStart w:id="27" w:name="ap-4-security-by-design"/>
    <w:p>
      <w:pPr>
        <w:pStyle w:val="Heading2"/>
      </w:pPr>
      <w:r>
        <w:t xml:space="preserve">AP-4: Security by Design</w:t>
      </w:r>
    </w:p>
    <w:p>
      <w:pPr>
        <w:pStyle w:val="FirstParagraph"/>
      </w:pPr>
      <w:r>
        <w:t xml:space="preserve">PII is separated from AI processing.</w:t>
      </w:r>
    </w:p>
    <w:p>
      <w:pPr>
        <w:pStyle w:val="BodyText"/>
      </w:pPr>
      <w:r>
        <w:t xml:space="preserve">Sensitive customer information never enters LLM prompts.</w:t>
      </w:r>
    </w:p>
    <w:p>
      <w:r>
        <w:pict>
          <v:rect style="width:0;height:1.5pt" o:hralign="center" o:hrstd="t" o:hr="t"/>
        </w:pict>
      </w:r>
    </w:p>
    <w:bookmarkEnd w:id="27"/>
    <w:bookmarkStart w:id="28" w:name="ap-5-event-driven-architecture"/>
    <w:p>
      <w:pPr>
        <w:pStyle w:val="Heading2"/>
      </w:pPr>
      <w:r>
        <w:t xml:space="preserve">AP-5: Event-Driven Architecture</w:t>
      </w:r>
    </w:p>
    <w:p>
      <w:pPr>
        <w:pStyle w:val="FirstParagraph"/>
      </w:pPr>
      <w:r>
        <w:t xml:space="preserve">All major platform events are published through Kafka.</w:t>
      </w:r>
    </w:p>
    <w:p>
      <w:pPr>
        <w:pStyle w:val="BodyText"/>
      </w:pPr>
      <w:r>
        <w:t xml:space="preserve">This enables loose coupling and future extensibility.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igh-level-architecture"/>
    <w:p>
      <w:pPr>
        <w:pStyle w:val="Heading1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┌───────────────────────────┐</w:t>
      </w:r>
      <w:r>
        <w:br/>
      </w:r>
      <w:r>
        <w:rPr>
          <w:rStyle w:val="VerbatimChar"/>
        </w:rPr>
        <w:t xml:space="preserve"> │      React + Salt DS      │</w:t>
      </w:r>
      <w:r>
        <w:br/>
      </w:r>
      <w:r>
        <w:rPr>
          <w:rStyle w:val="VerbatimChar"/>
        </w:rPr>
        <w:t xml:space="preserve">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┌───────────────────────────┐</w:t>
      </w:r>
      <w:r>
        <w:br/>
      </w:r>
      <w:r>
        <w:rPr>
          <w:rStyle w:val="VerbatimChar"/>
        </w:rPr>
        <w:t xml:space="preserve"> │   NeoClarity Platform API │</w:t>
      </w:r>
      <w:r>
        <w:br/>
      </w:r>
      <w:r>
        <w:rPr>
          <w:rStyle w:val="VerbatimChar"/>
        </w:rPr>
        <w:t xml:space="preserve"> │      Spring Boot          │</w:t>
      </w:r>
      <w:r>
        <w:br/>
      </w:r>
      <w:r>
        <w:rPr>
          <w:rStyle w:val="VerbatimChar"/>
        </w:rPr>
        <w:t xml:space="preserve">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┌────────┴─────────┐</w:t>
      </w:r>
      <w:r>
        <w:br/>
      </w:r>
      <w:r>
        <w:rPr>
          <w:rStyle w:val="VerbatimChar"/>
        </w:rPr>
        <w:t xml:space="preserve">      ▼                  ▼</w:t>
      </w:r>
      <w:r>
        <w:br/>
      </w:r>
      <w:r>
        <w:br/>
      </w:r>
      <w:r>
        <w:rPr>
          <w:rStyle w:val="VerbatimChar"/>
        </w:rPr>
        <w:t xml:space="preserve"> PostgreSQL        Kafka Event Bus</w:t>
      </w:r>
      <w:r>
        <w:br/>
      </w:r>
      <w:r>
        <w:br/>
      </w:r>
      <w:r>
        <w:rPr>
          <w:rStyle w:val="VerbatimChar"/>
        </w:rPr>
        <w:t xml:space="preserve">      │                  │</w:t>
      </w:r>
      <w:r>
        <w:br/>
      </w:r>
      <w:r>
        <w:rPr>
          <w:rStyle w:val="VerbatimChar"/>
        </w:rPr>
        <w:t xml:space="preserve">      ▼                  ▼</w:t>
      </w:r>
      <w:r>
        <w:br/>
      </w:r>
      <w:r>
        <w:br/>
      </w:r>
      <w:r>
        <w:rPr>
          <w:rStyle w:val="VerbatimChar"/>
        </w:rPr>
        <w:t xml:space="preserve"> Household Twin    AI Agent Platform</w:t>
      </w:r>
      <w:r>
        <w:br/>
      </w:r>
      <w:r>
        <w:rPr>
          <w:rStyle w:val="VerbatimChar"/>
        </w:rPr>
        <w:t xml:space="preserve"> Neo4j             LangGraph + FastAPI</w:t>
      </w:r>
      <w:r>
        <w:br/>
      </w:r>
      <w:r>
        <w:br/>
      </w:r>
      <w:r>
        <w:rPr>
          <w:rStyle w:val="VerbatimChar"/>
        </w:rPr>
        <w:t xml:space="preserve">      │                  │</w:t>
      </w:r>
      <w:r>
        <w:br/>
      </w:r>
      <w:r>
        <w:rPr>
          <w:rStyle w:val="VerbatimChar"/>
        </w:rPr>
        <w:t xml:space="preserve">      └────────┬─────────┘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br/>
      </w:r>
      <w:r>
        <w:rPr>
          <w:rStyle w:val="VerbatimChar"/>
        </w:rPr>
        <w:t xml:space="preserve">       Recommendations</w:t>
      </w:r>
      <w:r>
        <w:br/>
      </w:r>
      <w:r>
        <w:rPr>
          <w:rStyle w:val="VerbatimChar"/>
        </w:rPr>
        <w:t xml:space="preserve">       Events</w:t>
      </w:r>
      <w:r>
        <w:br/>
      </w:r>
      <w:r>
        <w:rPr>
          <w:rStyle w:val="VerbatimChar"/>
        </w:rPr>
        <w:t xml:space="preserve">       Resilience Scores</w:t>
      </w:r>
    </w:p>
    <w:p>
      <w:r>
        <w:pict>
          <v:rect style="width:0;height:1.5pt" o:hralign="center" o:hrstd="t" o:hr="t"/>
        </w:pict>
      </w:r>
    </w:p>
    <w:bookmarkEnd w:id="30"/>
    <w:bookmarkStart w:id="36" w:name="architecture-components"/>
    <w:p>
      <w:pPr>
        <w:pStyle w:val="Heading1"/>
      </w:pPr>
      <w:r>
        <w:t xml:space="preserve">4. Architecture Components</w:t>
      </w:r>
    </w:p>
    <w:p>
      <w:r>
        <w:pict>
          <v:rect style="width:0;height:1.5pt" o:hralign="center" o:hrstd="t" o:hr="t"/>
        </w:pict>
      </w:r>
    </w:p>
    <w:bookmarkStart w:id="31" w:name="frontend-layer"/>
    <w:p>
      <w:pPr>
        <w:pStyle w:val="Heading2"/>
      </w:pPr>
      <w:r>
        <w:t xml:space="preserve">4.1 Frontend Layer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Salt Design System</w:t>
      </w:r>
    </w:p>
    <w:p>
      <w:pPr>
        <w:pStyle w:val="Compact"/>
        <w:numPr>
          <w:ilvl w:val="0"/>
          <w:numId w:val="1003"/>
        </w:numPr>
      </w:pPr>
      <w:r>
        <w:t xml:space="preserve">TanStack Query</w:t>
      </w:r>
    </w:p>
    <w:p>
      <w:pPr>
        <w:pStyle w:val="Compact"/>
        <w:numPr>
          <w:ilvl w:val="0"/>
          <w:numId w:val="1003"/>
        </w:numPr>
      </w:pPr>
      <w:r>
        <w:t xml:space="preserve">React Router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User Registration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MFA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Goals</w:t>
      </w:r>
    </w:p>
    <w:p>
      <w:pPr>
        <w:pStyle w:val="Compact"/>
        <w:numPr>
          <w:ilvl w:val="0"/>
          <w:numId w:val="1004"/>
        </w:numPr>
      </w:pPr>
      <w:r>
        <w:t xml:space="preserve">Financial Insights</w:t>
      </w:r>
    </w:p>
    <w:p>
      <w:pPr>
        <w:pStyle w:val="Compact"/>
        <w:numPr>
          <w:ilvl w:val="0"/>
          <w:numId w:val="1004"/>
        </w:numPr>
      </w:pPr>
      <w:r>
        <w:t xml:space="preserve">Recommendations</w:t>
      </w:r>
    </w:p>
    <w:p>
      <w:pPr>
        <w:pStyle w:val="Compact"/>
        <w:numPr>
          <w:ilvl w:val="0"/>
          <w:numId w:val="1004"/>
        </w:numPr>
      </w:pPr>
      <w:r>
        <w:t xml:space="preserve">Profile</w:t>
      </w:r>
    </w:p>
    <w:p>
      <w:pPr>
        <w:pStyle w:val="Compact"/>
        <w:numPr>
          <w:ilvl w:val="0"/>
          <w:numId w:val="1004"/>
        </w:numPr>
      </w:pPr>
      <w:r>
        <w:t xml:space="preserve">Consent Management</w:t>
      </w:r>
    </w:p>
    <w:p>
      <w:r>
        <w:pict>
          <v:rect style="width:0;height:1.5pt" o:hralign="center" o:hrstd="t" o:hr="t"/>
        </w:pict>
      </w:r>
    </w:p>
    <w:bookmarkEnd w:id="31"/>
    <w:bookmarkStart w:id="32" w:name="platform-api-layer"/>
    <w:p>
      <w:pPr>
        <w:pStyle w:val="Heading2"/>
      </w:pPr>
      <w:r>
        <w:t xml:space="preserve">4.2 Platform API Layer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05"/>
        </w:numPr>
      </w:pPr>
      <w:r>
        <w:t xml:space="preserve">Java 21</w:t>
      </w:r>
    </w:p>
    <w:p>
      <w:pPr>
        <w:pStyle w:val="Compact"/>
        <w:numPr>
          <w:ilvl w:val="0"/>
          <w:numId w:val="1005"/>
        </w:numPr>
      </w:pPr>
      <w:r>
        <w:t xml:space="preserve">Spring Boot 3.x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User Management</w:t>
      </w:r>
    </w:p>
    <w:p>
      <w:pPr>
        <w:pStyle w:val="Compact"/>
        <w:numPr>
          <w:ilvl w:val="0"/>
          <w:numId w:val="1006"/>
        </w:numPr>
      </w:pPr>
      <w:r>
        <w:t xml:space="preserve">Consent Management</w:t>
      </w:r>
    </w:p>
    <w:p>
      <w:pPr>
        <w:pStyle w:val="Compact"/>
        <w:numPr>
          <w:ilvl w:val="0"/>
          <w:numId w:val="1006"/>
        </w:numPr>
      </w:pPr>
      <w:r>
        <w:t xml:space="preserve">Dashboard APIs</w:t>
      </w:r>
    </w:p>
    <w:p>
      <w:pPr>
        <w:pStyle w:val="Compact"/>
        <w:numPr>
          <w:ilvl w:val="0"/>
          <w:numId w:val="1006"/>
        </w:numPr>
      </w:pPr>
      <w:r>
        <w:t xml:space="preserve">Goal APIs</w:t>
      </w:r>
    </w:p>
    <w:p>
      <w:pPr>
        <w:pStyle w:val="Compact"/>
        <w:numPr>
          <w:ilvl w:val="0"/>
          <w:numId w:val="1006"/>
        </w:numPr>
      </w:pPr>
      <w:r>
        <w:t xml:space="preserve">Recommendation APIs</w:t>
      </w:r>
    </w:p>
    <w:p>
      <w:pPr>
        <w:pStyle w:val="Compact"/>
        <w:numPr>
          <w:ilvl w:val="0"/>
          <w:numId w:val="1006"/>
        </w:numPr>
      </w:pPr>
      <w:r>
        <w:t xml:space="preserve">Profile APIs</w:t>
      </w:r>
    </w:p>
    <w:p>
      <w:pPr>
        <w:pStyle w:val="FirstParagraph"/>
      </w:pPr>
      <w:r>
        <w:t xml:space="preserve">Package Structure:</w:t>
      </w:r>
    </w:p>
    <w:p>
      <w:pPr>
        <w:pStyle w:val="SourceCode"/>
      </w:pPr>
      <w:r>
        <w:rPr>
          <w:rStyle w:val="VerbatimChar"/>
        </w:rPr>
        <w:t xml:space="preserve">com.neoclarity.platform</w:t>
      </w:r>
      <w:r>
        <w:br/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user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goal</w:t>
      </w:r>
      <w:r>
        <w:br/>
      </w:r>
      <w:r>
        <w:rPr>
          <w:rStyle w:val="VerbatimChar"/>
        </w:rPr>
        <w:t xml:space="preserve">├── recommendation</w:t>
      </w:r>
      <w:r>
        <w:br/>
      </w:r>
      <w:r>
        <w:rPr>
          <w:rStyle w:val="VerbatimChar"/>
        </w:rPr>
        <w:t xml:space="preserve">├── consent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└── common</w:t>
      </w:r>
    </w:p>
    <w:p>
      <w:r>
        <w:pict>
          <v:rect style="width:0;height:1.5pt" o:hralign="center" o:hrstd="t" o:hr="t"/>
        </w:pict>
      </w:r>
    </w:p>
    <w:bookmarkEnd w:id="32"/>
    <w:bookmarkStart w:id="33" w:name="postgresql"/>
    <w:p>
      <w:pPr>
        <w:pStyle w:val="Heading2"/>
      </w:pPr>
      <w:r>
        <w:t xml:space="preserve">4.3 PostgreSQL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System of Record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07"/>
        </w:numPr>
      </w:pPr>
      <w:r>
        <w:t xml:space="preserve">Users</w:t>
      </w:r>
    </w:p>
    <w:p>
      <w:pPr>
        <w:pStyle w:val="Compact"/>
        <w:numPr>
          <w:ilvl w:val="0"/>
          <w:numId w:val="1007"/>
        </w:numPr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MFA Configuration</w:t>
      </w:r>
    </w:p>
    <w:p>
      <w:pPr>
        <w:pStyle w:val="Compact"/>
        <w:numPr>
          <w:ilvl w:val="0"/>
          <w:numId w:val="1007"/>
        </w:numPr>
      </w:pPr>
      <w:r>
        <w:t xml:space="preserve">Consent Records</w:t>
      </w:r>
    </w:p>
    <w:p>
      <w:pPr>
        <w:pStyle w:val="Compact"/>
        <w:numPr>
          <w:ilvl w:val="0"/>
          <w:numId w:val="1007"/>
        </w:numPr>
      </w:pPr>
      <w:r>
        <w:t xml:space="preserve">Goal Definitions</w:t>
      </w:r>
    </w:p>
    <w:p>
      <w:pPr>
        <w:pStyle w:val="Compact"/>
        <w:numPr>
          <w:ilvl w:val="0"/>
          <w:numId w:val="1007"/>
        </w:numPr>
      </w:pPr>
      <w:r>
        <w:t xml:space="preserve">Audit Logs</w:t>
      </w:r>
    </w:p>
    <w:p>
      <w:pPr>
        <w:pStyle w:val="FirstParagraph"/>
      </w:pPr>
      <w:r>
        <w:t xml:space="preserve">PostgreSQL is the authoritative source for customer data.</w:t>
      </w:r>
    </w:p>
    <w:p>
      <w:r>
        <w:pict>
          <v:rect style="width:0;height:1.5pt" o:hralign="center" o:hrstd="t" o:hr="t"/>
        </w:pict>
      </w:r>
    </w:p>
    <w:bookmarkEnd w:id="33"/>
    <w:bookmarkStart w:id="34" w:name="kafka-event-bus"/>
    <w:p>
      <w:pPr>
        <w:pStyle w:val="Heading2"/>
      </w:pPr>
      <w:r>
        <w:t xml:space="preserve">4.4 Kafka Event Bus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Platform communication layer.</w:t>
      </w:r>
    </w:p>
    <w:p>
      <w:pPr>
        <w:pStyle w:val="BodyText"/>
      </w:pPr>
      <w:r>
        <w:t xml:space="preserve">Topics:</w:t>
      </w:r>
    </w:p>
    <w:p>
      <w:pPr>
        <w:pStyle w:val="SourceCode"/>
      </w:pPr>
      <w:r>
        <w:rPr>
          <w:rStyle w:val="VerbatimChar"/>
        </w:rPr>
        <w:t xml:space="preserve">transactions.normalized</w:t>
      </w:r>
      <w:r>
        <w:br/>
      </w:r>
      <w:r>
        <w:br/>
      </w:r>
      <w:r>
        <w:rPr>
          <w:rStyle w:val="VerbatimChar"/>
        </w:rPr>
        <w:t xml:space="preserve">events.detected</w:t>
      </w:r>
      <w:r>
        <w:br/>
      </w:r>
      <w:r>
        <w:br/>
      </w:r>
      <w:r>
        <w:rPr>
          <w:rStyle w:val="VerbatimChar"/>
        </w:rPr>
        <w:t xml:space="preserve">recommendations.generated</w:t>
      </w:r>
      <w:r>
        <w:br/>
      </w:r>
      <w:r>
        <w:br/>
      </w:r>
      <w:r>
        <w:rPr>
          <w:rStyle w:val="VerbatimChar"/>
        </w:rPr>
        <w:t xml:space="preserve">recommendations.approved</w:t>
      </w:r>
      <w:r>
        <w:br/>
      </w:r>
      <w:r>
        <w:br/>
      </w:r>
      <w:r>
        <w:rPr>
          <w:rStyle w:val="VerbatimChar"/>
        </w:rPr>
        <w:t xml:space="preserve">twin.updated</w:t>
      </w:r>
      <w:r>
        <w:br/>
      </w:r>
      <w:r>
        <w:br/>
      </w:r>
      <w:r>
        <w:rPr>
          <w:rStyle w:val="VerbatimChar"/>
        </w:rPr>
        <w:t xml:space="preserve">consent.changed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Decoupling</w:t>
      </w:r>
    </w:p>
    <w:p>
      <w:pPr>
        <w:pStyle w:val="Compact"/>
        <w:numPr>
          <w:ilvl w:val="0"/>
          <w:numId w:val="1008"/>
        </w:numPr>
      </w:pPr>
      <w:r>
        <w:t xml:space="preserve">Scalability</w:t>
      </w:r>
    </w:p>
    <w:p>
      <w:pPr>
        <w:pStyle w:val="Compact"/>
        <w:numPr>
          <w:ilvl w:val="0"/>
          <w:numId w:val="1008"/>
        </w:numPr>
      </w:pPr>
      <w:r>
        <w:t xml:space="preserve">Extensibility</w:t>
      </w:r>
    </w:p>
    <w:p>
      <w:r>
        <w:pict>
          <v:rect style="width:0;height:1.5pt" o:hralign="center" o:hrstd="t" o:hr="t"/>
        </w:pict>
      </w:r>
    </w:p>
    <w:bookmarkEnd w:id="34"/>
    <w:bookmarkStart w:id="35" w:name="household-digital-twin"/>
    <w:p>
      <w:pPr>
        <w:pStyle w:val="Heading2"/>
      </w:pPr>
      <w:r>
        <w:t xml:space="preserve">4.5 Household Digital Twin</w:t>
      </w:r>
    </w:p>
    <w:p>
      <w:pPr>
        <w:pStyle w:val="FirstParagraph"/>
      </w:pPr>
      <w:r>
        <w:t xml:space="preserve">Technology:</w:t>
      </w:r>
    </w:p>
    <w:p>
      <w:pPr>
        <w:pStyle w:val="BodyText"/>
      </w:pPr>
      <w:r>
        <w:t xml:space="preserve">Neo4j 5.x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Relationship-aware financial intelligence layer.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09"/>
        </w:numPr>
      </w:pPr>
      <w:r>
        <w:t xml:space="preserve">Accounts</w:t>
      </w:r>
    </w:p>
    <w:p>
      <w:pPr>
        <w:pStyle w:val="Compact"/>
        <w:numPr>
          <w:ilvl w:val="0"/>
          <w:numId w:val="1009"/>
        </w:numPr>
      </w:pPr>
      <w:r>
        <w:t xml:space="preserve">Transactions</w:t>
      </w:r>
    </w:p>
    <w:p>
      <w:pPr>
        <w:pStyle w:val="Compact"/>
        <w:numPr>
          <w:ilvl w:val="0"/>
          <w:numId w:val="1009"/>
        </w:numPr>
      </w:pPr>
      <w:r>
        <w:t xml:space="preserve">Goals</w:t>
      </w:r>
    </w:p>
    <w:p>
      <w:pPr>
        <w:pStyle w:val="Compact"/>
        <w:numPr>
          <w:ilvl w:val="0"/>
          <w:numId w:val="1009"/>
        </w:numPr>
      </w:pPr>
      <w:r>
        <w:t xml:space="preserve">Events</w:t>
      </w:r>
    </w:p>
    <w:p>
      <w:pPr>
        <w:pStyle w:val="Compact"/>
        <w:numPr>
          <w:ilvl w:val="0"/>
          <w:numId w:val="1009"/>
        </w:numPr>
      </w:pPr>
      <w:r>
        <w:t xml:space="preserve">Recommendations</w:t>
      </w:r>
    </w:p>
    <w:p>
      <w:pPr>
        <w:pStyle w:val="Compact"/>
        <w:numPr>
          <w:ilvl w:val="0"/>
          <w:numId w:val="1009"/>
        </w:numPr>
      </w:pPr>
      <w:r>
        <w:t xml:space="preserve">Context</w:t>
      </w:r>
    </w:p>
    <w:p>
      <w:pPr>
        <w:pStyle w:val="FirstParagraph"/>
      </w:pPr>
      <w:r>
        <w:t xml:space="preserve">The Twin serves as the primary reasoning source for AI agents.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neo4j-data-model"/>
    <w:p>
      <w:pPr>
        <w:pStyle w:val="Heading1"/>
      </w:pPr>
      <w:r>
        <w:t xml:space="preserve">5. Neo4j Data Model</w:t>
      </w:r>
    </w:p>
    <w:p>
      <w:r>
        <w:pict>
          <v:rect style="width:0;height:1.5pt" o:hralign="center" o:hrstd="t" o:hr="t"/>
        </w:pict>
      </w:r>
    </w:p>
    <w:bookmarkStart w:id="37" w:name="customer"/>
    <w:p>
      <w:pPr>
        <w:pStyle w:val="Heading2"/>
      </w:pPr>
      <w:r>
        <w:t xml:space="preserve">Customer</w:t>
      </w:r>
    </w:p>
    <w:p>
      <w:pPr>
        <w:pStyle w:val="SourceCode"/>
      </w:pPr>
      <w:r>
        <w:rPr>
          <w:rStyle w:val="VerbatimChar"/>
        </w:rPr>
        <w:t xml:space="preserve">Customer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10"/>
        </w:numPr>
      </w:pPr>
      <w:r>
        <w:t xml:space="preserve">hashed_id</w:t>
      </w:r>
    </w:p>
    <w:p>
      <w:pPr>
        <w:pStyle w:val="Compact"/>
        <w:numPr>
          <w:ilvl w:val="0"/>
          <w:numId w:val="1010"/>
        </w:numPr>
      </w:pPr>
      <w:r>
        <w:t xml:space="preserve">created_at</w:t>
      </w:r>
    </w:p>
    <w:p>
      <w:pPr>
        <w:pStyle w:val="Compact"/>
        <w:numPr>
          <w:ilvl w:val="0"/>
          <w:numId w:val="1010"/>
        </w:numPr>
      </w:pPr>
      <w:r>
        <w:t xml:space="preserve">consent_active</w:t>
      </w:r>
    </w:p>
    <w:p>
      <w:r>
        <w:pict>
          <v:rect style="width:0;height:1.5pt" o:hralign="center" o:hrstd="t" o:hr="t"/>
        </w:pict>
      </w:r>
    </w:p>
    <w:bookmarkEnd w:id="37"/>
    <w:bookmarkStart w:id="38" w:name="account"/>
    <w:p>
      <w:pPr>
        <w:pStyle w:val="Heading2"/>
      </w:pPr>
      <w:r>
        <w:t xml:space="preserve">Account</w:t>
      </w:r>
    </w:p>
    <w:p>
      <w:pPr>
        <w:pStyle w:val="SourceCode"/>
      </w:pPr>
      <w:r>
        <w:rPr>
          <w:rStyle w:val="VerbatimChar"/>
        </w:rPr>
        <w:t xml:space="preserve">Account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11"/>
        </w:numPr>
      </w:pPr>
      <w:r>
        <w:t xml:space="preserve">account_id</w:t>
      </w:r>
    </w:p>
    <w:p>
      <w:pPr>
        <w:pStyle w:val="Compact"/>
        <w:numPr>
          <w:ilvl w:val="0"/>
          <w:numId w:val="1011"/>
        </w:numPr>
      </w:pPr>
      <w:r>
        <w:t xml:space="preserve">type</w:t>
      </w:r>
    </w:p>
    <w:p>
      <w:pPr>
        <w:pStyle w:val="Compact"/>
        <w:numPr>
          <w:ilvl w:val="0"/>
          <w:numId w:val="1011"/>
        </w:numPr>
      </w:pPr>
      <w:r>
        <w:t xml:space="preserve">balance</w:t>
      </w:r>
    </w:p>
    <w:p>
      <w:r>
        <w:pict>
          <v:rect style="width:0;height:1.5pt" o:hralign="center" o:hrstd="t" o:hr="t"/>
        </w:pict>
      </w:r>
    </w:p>
    <w:bookmarkEnd w:id="38"/>
    <w:bookmarkStart w:id="39" w:name="transaction"/>
    <w:p>
      <w:pPr>
        <w:pStyle w:val="Heading2"/>
      </w:pPr>
      <w:r>
        <w:t xml:space="preserve">Transaction</w:t>
      </w:r>
    </w:p>
    <w:p>
      <w:pPr>
        <w:pStyle w:val="SourceCode"/>
      </w:pPr>
      <w:r>
        <w:rPr>
          <w:rStyle w:val="VerbatimChar"/>
        </w:rPr>
        <w:t xml:space="preserve">Transaction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12"/>
        </w:numPr>
      </w:pPr>
      <w:r>
        <w:t xml:space="preserve">transaction_id</w:t>
      </w:r>
    </w:p>
    <w:p>
      <w:pPr>
        <w:pStyle w:val="Compact"/>
        <w:numPr>
          <w:ilvl w:val="0"/>
          <w:numId w:val="1012"/>
        </w:numPr>
      </w:pPr>
      <w:r>
        <w:t xml:space="preserve">amount</w:t>
      </w:r>
    </w:p>
    <w:p>
      <w:pPr>
        <w:pStyle w:val="Compact"/>
        <w:numPr>
          <w:ilvl w:val="0"/>
          <w:numId w:val="1012"/>
        </w:numPr>
      </w:pPr>
      <w:r>
        <w:t xml:space="preserve">merchant_raw</w:t>
      </w:r>
    </w:p>
    <w:p>
      <w:pPr>
        <w:pStyle w:val="Compact"/>
        <w:numPr>
          <w:ilvl w:val="0"/>
          <w:numId w:val="1012"/>
        </w:numPr>
      </w:pPr>
      <w:r>
        <w:t xml:space="preserve">merchant_normalized</w:t>
      </w:r>
    </w:p>
    <w:p>
      <w:pPr>
        <w:pStyle w:val="Compact"/>
        <w:numPr>
          <w:ilvl w:val="0"/>
          <w:numId w:val="1012"/>
        </w:numPr>
      </w:pPr>
      <w:r>
        <w:t xml:space="preserve">transaction_date</w:t>
      </w:r>
    </w:p>
    <w:p>
      <w:r>
        <w:pict>
          <v:rect style="width:0;height:1.5pt" o:hralign="center" o:hrstd="t" o:hr="t"/>
        </w:pict>
      </w:r>
    </w:p>
    <w:bookmarkEnd w:id="39"/>
    <w:bookmarkStart w:id="40" w:name="event"/>
    <w:p>
      <w:pPr>
        <w:pStyle w:val="Heading2"/>
      </w:pPr>
      <w:r>
        <w:t xml:space="preserve">Event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Yellowstone Vacation</w:t>
      </w:r>
    </w:p>
    <w:p>
      <w:pPr>
        <w:pStyle w:val="Compact"/>
        <w:numPr>
          <w:ilvl w:val="0"/>
          <w:numId w:val="1013"/>
        </w:numPr>
      </w:pPr>
      <w:r>
        <w:t xml:space="preserve">Home Renovation</w:t>
      </w:r>
    </w:p>
    <w:p>
      <w:pPr>
        <w:pStyle w:val="Compact"/>
        <w:numPr>
          <w:ilvl w:val="0"/>
          <w:numId w:val="1013"/>
        </w:numPr>
      </w:pPr>
      <w:r>
        <w:t xml:space="preserve">Soccer Season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14"/>
        </w:numPr>
      </w:pPr>
      <w:r>
        <w:t xml:space="preserve">event_id</w:t>
      </w:r>
    </w:p>
    <w:p>
      <w:pPr>
        <w:pStyle w:val="Compact"/>
        <w:numPr>
          <w:ilvl w:val="0"/>
          <w:numId w:val="1014"/>
        </w:numPr>
      </w:pPr>
      <w:r>
        <w:t xml:space="preserve">event_type</w:t>
      </w:r>
    </w:p>
    <w:p>
      <w:pPr>
        <w:pStyle w:val="Compact"/>
        <w:numPr>
          <w:ilvl w:val="0"/>
          <w:numId w:val="1014"/>
        </w:numPr>
      </w:pPr>
      <w:r>
        <w:t xml:space="preserve">confidence</w:t>
      </w:r>
    </w:p>
    <w:p>
      <w:pPr>
        <w:pStyle w:val="Compact"/>
        <w:numPr>
          <w:ilvl w:val="0"/>
          <w:numId w:val="1014"/>
        </w:numPr>
      </w:pPr>
      <w:r>
        <w:t xml:space="preserve">estimated_cost</w:t>
      </w:r>
    </w:p>
    <w:p>
      <w:r>
        <w:pict>
          <v:rect style="width:0;height:1.5pt" o:hralign="center" o:hrstd="t" o:hr="t"/>
        </w:pict>
      </w:r>
    </w:p>
    <w:bookmarkEnd w:id="40"/>
    <w:bookmarkStart w:id="41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Emergency Fund</w:t>
      </w:r>
    </w:p>
    <w:p>
      <w:pPr>
        <w:pStyle w:val="Compact"/>
        <w:numPr>
          <w:ilvl w:val="0"/>
          <w:numId w:val="1015"/>
        </w:numPr>
      </w:pPr>
      <w:r>
        <w:t xml:space="preserve">Vacation Fund</w:t>
      </w:r>
    </w:p>
    <w:p>
      <w:pPr>
        <w:pStyle w:val="Compact"/>
        <w:numPr>
          <w:ilvl w:val="0"/>
          <w:numId w:val="1015"/>
        </w:numPr>
      </w:pPr>
      <w:r>
        <w:t xml:space="preserve">College Fund</w:t>
      </w:r>
    </w:p>
    <w:p>
      <w:r>
        <w:pict>
          <v:rect style="width:0;height:1.5pt" o:hralign="center" o:hrstd="t" o:hr="t"/>
        </w:pict>
      </w:r>
    </w:p>
    <w:bookmarkEnd w:id="41"/>
    <w:bookmarkStart w:id="42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16"/>
        </w:numPr>
      </w:pPr>
      <w:r>
        <w:t xml:space="preserve">recommendation_id</w:t>
      </w:r>
    </w:p>
    <w:p>
      <w:pPr>
        <w:pStyle w:val="Compact"/>
        <w:numPr>
          <w:ilvl w:val="0"/>
          <w:numId w:val="1016"/>
        </w:numPr>
      </w:pPr>
      <w:r>
        <w:t xml:space="preserve">impact_score</w:t>
      </w:r>
    </w:p>
    <w:p>
      <w:pPr>
        <w:pStyle w:val="Compact"/>
        <w:numPr>
          <w:ilvl w:val="0"/>
          <w:numId w:val="1016"/>
        </w:numPr>
      </w:pPr>
      <w:r>
        <w:t xml:space="preserve">confidence_score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raph-relationships"/>
    <w:p>
      <w:pPr>
        <w:pStyle w:val="Heading1"/>
      </w:pPr>
      <w:r>
        <w:t xml:space="preserve">6. Graph Relationships</w:t>
      </w:r>
    </w:p>
    <w:p>
      <w:pPr>
        <w:pStyle w:val="SourceCode"/>
      </w:pPr>
      <w:r>
        <w:rPr>
          <w:rStyle w:val="VerbatimChar"/>
        </w:rPr>
        <w:t xml:space="preserve">(Customer)-[:HAS_ACCOUNT]-&gt;(Account)</w:t>
      </w:r>
      <w:r>
        <w:br/>
      </w:r>
      <w:r>
        <w:br/>
      </w:r>
      <w:r>
        <w:rPr>
          <w:rStyle w:val="VerbatimChar"/>
        </w:rPr>
        <w:t xml:space="preserve">(Account)-[:CONTAINS]-&gt;(Transaction)</w:t>
      </w:r>
      <w:r>
        <w:br/>
      </w:r>
      <w:r>
        <w:br/>
      </w:r>
      <w:r>
        <w:rPr>
          <w:rStyle w:val="VerbatimChar"/>
        </w:rPr>
        <w:t xml:space="preserve">(Customer)-[:HAS_GOAL]-&gt;(Goal)</w:t>
      </w:r>
      <w:r>
        <w:br/>
      </w:r>
      <w:r>
        <w:br/>
      </w:r>
      <w:r>
        <w:rPr>
          <w:rStyle w:val="VerbatimChar"/>
        </w:rPr>
        <w:t xml:space="preserve">(Customer)-[:HAS_EVENT]-&gt;(Event)</w:t>
      </w:r>
      <w:r>
        <w:br/>
      </w:r>
      <w:r>
        <w:br/>
      </w:r>
      <w:r>
        <w:rPr>
          <w:rStyle w:val="VerbatimChar"/>
        </w:rPr>
        <w:t xml:space="preserve">(Customer)-[:RECEIVED]-&gt;(Recommendation)</w:t>
      </w:r>
      <w:r>
        <w:br/>
      </w:r>
      <w:r>
        <w:br/>
      </w:r>
      <w:r>
        <w:rPr>
          <w:rStyle w:val="VerbatimChar"/>
        </w:rPr>
        <w:t xml:space="preserve">(Transaction)-[:BELONGS_TO]-&gt;(Event)</w:t>
      </w:r>
      <w:r>
        <w:br/>
      </w:r>
      <w:r>
        <w:br/>
      </w:r>
      <w:r>
        <w:rPr>
          <w:rStyle w:val="VerbatimChar"/>
        </w:rPr>
        <w:t xml:space="preserve">(Recommendation)-[:SUPPORTS]-&gt;(Goal)</w:t>
      </w:r>
    </w:p>
    <w:p>
      <w:r>
        <w:pict>
          <v:rect style="width:0;height:1.5pt" o:hralign="center" o:hrstd="t" o:hr="t"/>
        </w:pict>
      </w:r>
    </w:p>
    <w:bookmarkEnd w:id="44"/>
    <w:bookmarkStart w:id="46" w:name="digital-twin-projection-strategy"/>
    <w:p>
      <w:pPr>
        <w:pStyle w:val="Heading1"/>
      </w:pPr>
      <w:r>
        <w:t xml:space="preserve">7. Digital Twin Projection Strategy</w:t>
      </w:r>
    </w:p>
    <w:p>
      <w:pPr>
        <w:pStyle w:val="FirstParagraph"/>
      </w:pPr>
      <w:r>
        <w:t xml:space="preserve">Source of Truth: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Projection Store:</w:t>
      </w:r>
    </w:p>
    <w:p>
      <w:pPr>
        <w:pStyle w:val="BodyText"/>
      </w:pPr>
      <w:r>
        <w:t xml:space="preserve">Neo4j</w:t>
      </w:r>
    </w:p>
    <w:p>
      <w:pPr>
        <w:pStyle w:val="BodyText"/>
      </w:pP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Normalization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Kafka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Projection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Neo4j Twin</w:t>
      </w:r>
    </w:p>
    <w:p>
      <w:r>
        <w:pict>
          <v:rect style="width:0;height:1.5pt" o:hralign="center" o:hrstd="t" o:hr="t"/>
        </w:pict>
      </w:r>
    </w:p>
    <w:bookmarkStart w:id="45" w:name="projection-sla"/>
    <w:p>
      <w:pPr>
        <w:pStyle w:val="Heading2"/>
      </w:pPr>
      <w:r>
        <w:t xml:space="preserve">Projection SLA</w:t>
      </w:r>
    </w:p>
    <w:p>
      <w:pPr>
        <w:pStyle w:val="FirstParagraph"/>
      </w:pPr>
      <w:r>
        <w:t xml:space="preserve">Median:</w:t>
      </w:r>
    </w:p>
    <w:p>
      <w:pPr>
        <w:pStyle w:val="BodyText"/>
      </w:pPr>
      <w:r>
        <w:t xml:space="preserve">&lt; 30 seconds</w:t>
      </w:r>
    </w:p>
    <w:p>
      <w:pPr>
        <w:pStyle w:val="BodyText"/>
      </w:pPr>
      <w:r>
        <w:t xml:space="preserve">95th Percentile:</w:t>
      </w:r>
    </w:p>
    <w:p>
      <w:pPr>
        <w:pStyle w:val="BodyText"/>
      </w:pPr>
      <w:r>
        <w:t xml:space="preserve">&lt; 120 seconds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i-agent-platform"/>
    <w:p>
      <w:pPr>
        <w:pStyle w:val="Heading1"/>
      </w:pPr>
      <w:r>
        <w:t xml:space="preserve">8. AI Agent Platform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17"/>
        </w:numPr>
      </w:pPr>
      <w:r>
        <w:t xml:space="preserve">Python</w:t>
      </w:r>
    </w:p>
    <w:p>
      <w:pPr>
        <w:pStyle w:val="Compact"/>
        <w:numPr>
          <w:ilvl w:val="0"/>
          <w:numId w:val="1017"/>
        </w:numPr>
      </w:pPr>
      <w:r>
        <w:t xml:space="preserve">FastAPI</w:t>
      </w:r>
    </w:p>
    <w:p>
      <w:pPr>
        <w:pStyle w:val="Compact"/>
        <w:numPr>
          <w:ilvl w:val="0"/>
          <w:numId w:val="1017"/>
        </w:numPr>
      </w:pPr>
      <w:r>
        <w:t xml:space="preserve">LangGraph</w:t>
      </w:r>
    </w:p>
    <w:p>
      <w:pPr>
        <w:pStyle w:val="Compact"/>
        <w:numPr>
          <w:ilvl w:val="0"/>
          <w:numId w:val="1017"/>
        </w:numPr>
      </w:pPr>
      <w:r>
        <w:t xml:space="preserve">OpenAI / Bedrock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explainable financial guidance.</w:t>
      </w:r>
    </w:p>
    <w:p>
      <w:r>
        <w:pict>
          <v:rect style="width:0;height:1.5pt" o:hralign="center" o:hrstd="t" o:hr="t"/>
        </w:pict>
      </w:r>
    </w:p>
    <w:bookmarkEnd w:id="47"/>
    <w:bookmarkStart w:id="52" w:name="agent-architecture"/>
    <w:p>
      <w:pPr>
        <w:pStyle w:val="Heading1"/>
      </w:pPr>
      <w:r>
        <w:t xml:space="preserve">9. Agent Architecture</w:t>
      </w:r>
    </w:p>
    <w:p>
      <w:r>
        <w:pict>
          <v:rect style="width:0;height:1.5pt" o:hralign="center" o:hrstd="t" o:hr="t"/>
        </w:pict>
      </w:r>
    </w:p>
    <w:bookmarkStart w:id="48" w:name="supervisor-agent"/>
    <w:p>
      <w:pPr>
        <w:pStyle w:val="Heading2"/>
      </w:pPr>
      <w:r>
        <w:t xml:space="preserve">Supervisor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8"/>
        </w:numPr>
      </w:pPr>
      <w:r>
        <w:t xml:space="preserve">Orchestration</w:t>
      </w:r>
    </w:p>
    <w:p>
      <w:pPr>
        <w:pStyle w:val="Compact"/>
        <w:numPr>
          <w:ilvl w:val="0"/>
          <w:numId w:val="1018"/>
        </w:numPr>
      </w:pPr>
      <w:r>
        <w:t xml:space="preserve">Conflict Resolution</w:t>
      </w:r>
    </w:p>
    <w:p>
      <w:pPr>
        <w:pStyle w:val="Compact"/>
        <w:numPr>
          <w:ilvl w:val="0"/>
          <w:numId w:val="1018"/>
        </w:numPr>
      </w:pPr>
      <w:r>
        <w:t xml:space="preserve">Recommendation Prioritization</w:t>
      </w:r>
    </w:p>
    <w:p>
      <w:pPr>
        <w:pStyle w:val="FirstParagraph"/>
      </w:pPr>
      <w:r>
        <w:t xml:space="preserve">The Supervisor Agent determines the final Next Best Action.</w:t>
      </w:r>
    </w:p>
    <w:p>
      <w:r>
        <w:pict>
          <v:rect style="width:0;height:1.5pt" o:hralign="center" o:hrstd="t" o:hr="t"/>
        </w:pict>
      </w:r>
    </w:p>
    <w:bookmarkEnd w:id="48"/>
    <w:bookmarkStart w:id="49" w:name="financial-health-agent"/>
    <w:p>
      <w:pPr>
        <w:pStyle w:val="Heading2"/>
      </w:pPr>
      <w:r>
        <w:t xml:space="preserve">Financial Health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Resilience Score</w:t>
      </w:r>
    </w:p>
    <w:p>
      <w:pPr>
        <w:pStyle w:val="Compact"/>
        <w:numPr>
          <w:ilvl w:val="0"/>
          <w:numId w:val="1019"/>
        </w:numPr>
      </w:pPr>
      <w:r>
        <w:t xml:space="preserve">Emergency Fund Analysis</w:t>
      </w:r>
    </w:p>
    <w:p>
      <w:pPr>
        <w:pStyle w:val="Compact"/>
        <w:numPr>
          <w:ilvl w:val="0"/>
          <w:numId w:val="1019"/>
        </w:numPr>
      </w:pPr>
      <w:r>
        <w:t xml:space="preserve">Debt Burden Assessment</w:t>
      </w:r>
    </w:p>
    <w:p>
      <w:pPr>
        <w:pStyle w:val="Compact"/>
        <w:numPr>
          <w:ilvl w:val="0"/>
          <w:numId w:val="1019"/>
        </w:numPr>
      </w:pPr>
      <w:r>
        <w:t xml:space="preserve">Cash Flow Analysis</w:t>
      </w:r>
    </w:p>
    <w:p>
      <w:r>
        <w:pict>
          <v:rect style="width:0;height:1.5pt" o:hralign="center" o:hrstd="t" o:hr="t"/>
        </w:pict>
      </w:r>
    </w:p>
    <w:bookmarkEnd w:id="49"/>
    <w:bookmarkStart w:id="50" w:name="goal-planning-agent"/>
    <w:p>
      <w:pPr>
        <w:pStyle w:val="Heading2"/>
      </w:pPr>
      <w:r>
        <w:t xml:space="preserve">Goal Planning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0"/>
        </w:numPr>
      </w:pPr>
      <w:r>
        <w:t xml:space="preserve">Goal Progress</w:t>
      </w:r>
    </w:p>
    <w:p>
      <w:pPr>
        <w:pStyle w:val="Compact"/>
        <w:numPr>
          <w:ilvl w:val="0"/>
          <w:numId w:val="1020"/>
        </w:numPr>
      </w:pPr>
      <w:r>
        <w:t xml:space="preserve">Goal Forecasting</w:t>
      </w:r>
    </w:p>
    <w:p>
      <w:pPr>
        <w:pStyle w:val="Compact"/>
        <w:numPr>
          <w:ilvl w:val="0"/>
          <w:numId w:val="1020"/>
        </w:numPr>
      </w:pPr>
      <w:r>
        <w:t xml:space="preserve">Contribution Recommendations</w:t>
      </w:r>
    </w:p>
    <w:p>
      <w:r>
        <w:pict>
          <v:rect style="width:0;height:1.5pt" o:hralign="center" o:hrstd="t" o:hr="t"/>
        </w:pict>
      </w:r>
    </w:p>
    <w:bookmarkEnd w:id="50"/>
    <w:bookmarkStart w:id="51" w:name="event-intelligence-agent"/>
    <w:p>
      <w:pPr>
        <w:pStyle w:val="Heading2"/>
      </w:pPr>
      <w:r>
        <w:t xml:space="preserve">Event Intelligence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21"/>
        </w:numPr>
      </w:pPr>
      <w:r>
        <w:t xml:space="preserve">Event Detection</w:t>
      </w:r>
    </w:p>
    <w:p>
      <w:pPr>
        <w:pStyle w:val="Compact"/>
        <w:numPr>
          <w:ilvl w:val="0"/>
          <w:numId w:val="1021"/>
        </w:numPr>
      </w:pPr>
      <w:r>
        <w:t xml:space="preserve">Event Clustering</w:t>
      </w:r>
    </w:p>
    <w:p>
      <w:pPr>
        <w:pStyle w:val="Compact"/>
        <w:numPr>
          <w:ilvl w:val="0"/>
          <w:numId w:val="1021"/>
        </w:numPr>
      </w:pPr>
      <w:r>
        <w:t xml:space="preserve">Context Generation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Yellowstone Vacation</w:t>
      </w:r>
    </w:p>
    <w:p>
      <w:pPr>
        <w:pStyle w:val="Compact"/>
        <w:numPr>
          <w:ilvl w:val="0"/>
          <w:numId w:val="1022"/>
        </w:numPr>
      </w:pPr>
      <w:r>
        <w:t xml:space="preserve">Home Renovation</w:t>
      </w:r>
    </w:p>
    <w:p>
      <w:pPr>
        <w:pStyle w:val="Compact"/>
        <w:numPr>
          <w:ilvl w:val="0"/>
          <w:numId w:val="1022"/>
        </w:numPr>
      </w:pPr>
      <w:r>
        <w:t xml:space="preserve">Medical Event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commendation-lifecycle"/>
    <w:p>
      <w:pPr>
        <w:pStyle w:val="Heading1"/>
      </w:pPr>
      <w:r>
        <w:t xml:space="preserve">10. Recommendation Lifecycle</w:t>
      </w:r>
    </w:p>
    <w:p>
      <w:pPr>
        <w:pStyle w:val="SourceCode"/>
      </w:pPr>
      <w:r>
        <w:rPr>
          <w:rStyle w:val="VerbatimChar"/>
        </w:rPr>
        <w:t xml:space="preserve">Twin Snapshot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Agent Evaluation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Recommendation Generation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Supervisor Ranking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Next Best 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Customer Approval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Twin Update</w:t>
      </w:r>
    </w:p>
    <w:p>
      <w:r>
        <w:pict>
          <v:rect style="width:0;height:1.5pt" o:hralign="center" o:hrstd="t" o:hr="t"/>
        </w:pict>
      </w:r>
    </w:p>
    <w:bookmarkEnd w:id="53"/>
    <w:bookmarkStart w:id="54" w:name="human-in-the-loop-governance"/>
    <w:p>
      <w:pPr>
        <w:pStyle w:val="Heading1"/>
      </w:pPr>
      <w:r>
        <w:t xml:space="preserve">11. Human-in-the-Loop Governance</w:t>
      </w:r>
    </w:p>
    <w:p>
      <w:pPr>
        <w:pStyle w:val="FirstParagraph"/>
      </w:pPr>
      <w:r>
        <w:t xml:space="preserve">Every recommendation requires customer review.</w:t>
      </w:r>
    </w:p>
    <w:p>
      <w:pPr>
        <w:pStyle w:val="BodyText"/>
      </w:pPr>
      <w:r>
        <w:t xml:space="preserve">Customer options:</w:t>
      </w:r>
    </w:p>
    <w:p>
      <w:pPr>
        <w:pStyle w:val="Compact"/>
        <w:numPr>
          <w:ilvl w:val="0"/>
          <w:numId w:val="1023"/>
        </w:numPr>
      </w:pPr>
      <w:r>
        <w:t xml:space="preserve">Approve</w:t>
      </w:r>
    </w:p>
    <w:p>
      <w:pPr>
        <w:pStyle w:val="Compact"/>
        <w:numPr>
          <w:ilvl w:val="0"/>
          <w:numId w:val="1023"/>
        </w:numPr>
      </w:pPr>
      <w:r>
        <w:t xml:space="preserve">Dismiss</w:t>
      </w:r>
    </w:p>
    <w:p>
      <w:pPr>
        <w:pStyle w:val="Compact"/>
        <w:numPr>
          <w:ilvl w:val="0"/>
          <w:numId w:val="1023"/>
        </w:numPr>
      </w:pPr>
      <w:r>
        <w:t xml:space="preserve">Remind Later</w:t>
      </w:r>
    </w:p>
    <w:p>
      <w:pPr>
        <w:pStyle w:val="FirstParagraph"/>
      </w:pPr>
      <w:r>
        <w:t xml:space="preserve">No automatic execution occurs.</w:t>
      </w:r>
    </w:p>
    <w:p>
      <w:r>
        <w:pict>
          <v:rect style="width:0;height:1.5pt" o:hralign="center" o:hrstd="t" o:hr="t"/>
        </w:pict>
      </w:r>
    </w:p>
    <w:bookmarkEnd w:id="54"/>
    <w:bookmarkStart w:id="56" w:name="event-intelligence-strategy"/>
    <w:p>
      <w:pPr>
        <w:pStyle w:val="Heading1"/>
      </w:pPr>
      <w:r>
        <w:t xml:space="preserve">12. Event Intelligence Strategy</w:t>
      </w:r>
    </w:p>
    <w:p>
      <w:pPr>
        <w:pStyle w:val="FirstParagraph"/>
      </w:pPr>
      <w:r>
        <w:t xml:space="preserve">NeoClarity’s primary intelligence moat is Event Intelligence.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Flight Charge</w:t>
      </w:r>
      <w:r>
        <w:br/>
      </w:r>
      <w:r>
        <w:br/>
      </w:r>
      <w:r>
        <w:rPr>
          <w:rStyle w:val="VerbatimChar"/>
        </w:rPr>
        <w:t xml:space="preserve">Hotel Charge</w:t>
      </w:r>
      <w:r>
        <w:br/>
      </w:r>
      <w:r>
        <w:br/>
      </w:r>
      <w:r>
        <w:rPr>
          <w:rStyle w:val="VerbatimChar"/>
        </w:rPr>
        <w:t xml:space="preserve">Rental Car</w:t>
      </w:r>
      <w:r>
        <w:br/>
      </w:r>
      <w:r>
        <w:br/>
      </w:r>
      <w:r>
        <w:rPr>
          <w:rStyle w:val="VerbatimChar"/>
        </w:rPr>
        <w:t xml:space="preserve">Dining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VerbatimChar"/>
        </w:rPr>
        <w:t xml:space="preserve">Yellowstone Family Vacation</w:t>
      </w:r>
    </w:p>
    <w:p>
      <w:pPr>
        <w:pStyle w:val="FirstParagraph"/>
      </w:pPr>
      <w:r>
        <w:t xml:space="preserve">The platform groups related transactions into meaningful events.</w:t>
      </w:r>
    </w:p>
    <w:p>
      <w:r>
        <w:pict>
          <v:rect style="width:0;height:1.5pt" o:hralign="center" o:hrstd="t" o:hr="t"/>
        </w:pict>
      </w:r>
    </w:p>
    <w:bookmarkStart w:id="55" w:name="location-normalization"/>
    <w:p>
      <w:pPr>
        <w:pStyle w:val="Heading2"/>
      </w:pPr>
      <w:r>
        <w:t xml:space="preserve">Location Normalization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Merchant:</w:t>
      </w:r>
    </w:p>
    <w:p>
      <w:pPr>
        <w:pStyle w:val="SourceCode"/>
      </w:pPr>
      <w:r>
        <w:rPr>
          <w:rStyle w:val="VerbatimChar"/>
        </w:rPr>
        <w:t xml:space="preserve">K&amp;G #4592 DES MOINES IA</w:t>
      </w:r>
    </w:p>
    <w:p>
      <w:pPr>
        <w:pStyle w:val="FirstParagraph"/>
      </w:pPr>
      <w:r>
        <w:t xml:space="preserve">Actual Purchase:</w:t>
      </w:r>
    </w:p>
    <w:p>
      <w:pPr>
        <w:pStyle w:val="SourceCode"/>
      </w:pPr>
      <w:r>
        <w:rPr>
          <w:rStyle w:val="VerbatimChar"/>
        </w:rPr>
        <w:t xml:space="preserve">Katy, Texas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merchant_raw</w:t>
      </w:r>
    </w:p>
    <w:p>
      <w:pPr>
        <w:pStyle w:val="BodyText"/>
      </w:pPr>
      <w:r>
        <w:t xml:space="preserve">merchant_normalized</w:t>
      </w:r>
    </w:p>
    <w:p>
      <w:pPr>
        <w:pStyle w:val="BodyText"/>
      </w:pPr>
      <w:r>
        <w:t xml:space="preserve">Event Intelligence operates on normalized data.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security-architecture"/>
    <w:p>
      <w:pPr>
        <w:pStyle w:val="Heading1"/>
      </w:pPr>
      <w:r>
        <w:t xml:space="preserve">13. Security Architecture</w:t>
      </w:r>
    </w:p>
    <w:p>
      <w:r>
        <w:pict>
          <v:rect style="width:0;height:1.5pt" o:hralign="center" o:hrstd="t" o:hr="t"/>
        </w:pict>
      </w:r>
    </w:p>
    <w:bookmarkStart w:id="57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24"/>
        </w:numPr>
      </w:pPr>
      <w:r>
        <w:t xml:space="preserve">Registration</w:t>
      </w:r>
    </w:p>
    <w:p>
      <w:pPr>
        <w:pStyle w:val="Compact"/>
        <w:numPr>
          <w:ilvl w:val="0"/>
          <w:numId w:val="1024"/>
        </w:numPr>
      </w:pPr>
      <w:r>
        <w:t xml:space="preserve">Login</w:t>
      </w:r>
    </w:p>
    <w:p>
      <w:pPr>
        <w:pStyle w:val="Compact"/>
        <w:numPr>
          <w:ilvl w:val="0"/>
          <w:numId w:val="1024"/>
        </w:numPr>
      </w:pPr>
      <w:r>
        <w:t xml:space="preserve">JWT</w:t>
      </w:r>
    </w:p>
    <w:p>
      <w:pPr>
        <w:pStyle w:val="Compact"/>
        <w:numPr>
          <w:ilvl w:val="0"/>
          <w:numId w:val="1024"/>
        </w:numPr>
      </w:pPr>
      <w:r>
        <w:t xml:space="preserve">Refresh Tokens</w:t>
      </w:r>
    </w:p>
    <w:p>
      <w:pPr>
        <w:pStyle w:val="Compact"/>
        <w:numPr>
          <w:ilvl w:val="0"/>
          <w:numId w:val="1024"/>
        </w:numPr>
      </w:pPr>
      <w:r>
        <w:t xml:space="preserve">Authenticator App MFA</w:t>
      </w:r>
    </w:p>
    <w:p>
      <w:r>
        <w:pict>
          <v:rect style="width:0;height:1.5pt" o:hralign="center" o:hrstd="t" o:hr="t"/>
        </w:pict>
      </w:r>
    </w:p>
    <w:bookmarkEnd w:id="57"/>
    <w:bookmarkStart w:id="58" w:name="authorization"/>
    <w:p>
      <w:pPr>
        <w:pStyle w:val="Heading2"/>
      </w:pPr>
      <w:r>
        <w:t xml:space="preserve">Authorization</w:t>
      </w:r>
    </w:p>
    <w:p>
      <w:pPr>
        <w:pStyle w:val="FirstParagraph"/>
      </w:pPr>
      <w:r>
        <w:t xml:space="preserve">Role-Based Access Control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25"/>
        </w:numPr>
      </w:pPr>
      <w:r>
        <w:t xml:space="preserve">Customer</w:t>
      </w:r>
    </w:p>
    <w:p>
      <w:pPr>
        <w:pStyle w:val="Compact"/>
        <w:numPr>
          <w:ilvl w:val="0"/>
          <w:numId w:val="1025"/>
        </w:numPr>
      </w:pPr>
      <w:r>
        <w:t xml:space="preserve">Admin</w:t>
      </w:r>
    </w:p>
    <w:p>
      <w:pPr>
        <w:pStyle w:val="Compact"/>
        <w:numPr>
          <w:ilvl w:val="0"/>
          <w:numId w:val="1025"/>
        </w:numPr>
      </w:pPr>
      <w:r>
        <w:t xml:space="preserve">Support</w:t>
      </w:r>
    </w:p>
    <w:p>
      <w:r>
        <w:pict>
          <v:rect style="width:0;height:1.5pt" o:hralign="center" o:hrstd="t" o:hr="t"/>
        </w:pict>
      </w:r>
    </w:p>
    <w:bookmarkEnd w:id="58"/>
    <w:bookmarkStart w:id="59" w:name="encryption"/>
    <w:p>
      <w:pPr>
        <w:pStyle w:val="Heading2"/>
      </w:pPr>
      <w:r>
        <w:t xml:space="preserve">Encryption</w:t>
      </w:r>
    </w:p>
    <w:p>
      <w:pPr>
        <w:pStyle w:val="FirstParagraph"/>
      </w:pPr>
      <w:r>
        <w:t xml:space="preserve">At Rest:</w:t>
      </w:r>
    </w:p>
    <w:p>
      <w:pPr>
        <w:pStyle w:val="BodyText"/>
      </w:pPr>
      <w:r>
        <w:t xml:space="preserve">AES-256</w:t>
      </w:r>
    </w:p>
    <w:p>
      <w:pPr>
        <w:pStyle w:val="BodyText"/>
      </w:pPr>
      <w:r>
        <w:t xml:space="preserve">In Transit:</w:t>
      </w:r>
    </w:p>
    <w:p>
      <w:pPr>
        <w:pStyle w:val="BodyText"/>
      </w:pPr>
      <w:r>
        <w:t xml:space="preserve">TLS 1.2+</w:t>
      </w:r>
    </w:p>
    <w:p>
      <w:r>
        <w:pict>
          <v:rect style="width:0;height:1.5pt" o:hralign="center" o:hrstd="t" o:hr="t"/>
        </w:pict>
      </w:r>
    </w:p>
    <w:bookmarkEnd w:id="59"/>
    <w:bookmarkStart w:id="60" w:name="pii-strategy"/>
    <w:p>
      <w:pPr>
        <w:pStyle w:val="Heading2"/>
      </w:pPr>
      <w:r>
        <w:t xml:space="preserve">PII Strategy</w:t>
      </w:r>
    </w:p>
    <w:p>
      <w:pPr>
        <w:pStyle w:val="FirstParagraph"/>
      </w:pPr>
      <w:r>
        <w:t xml:space="preserve">PostgreSQL:</w:t>
      </w:r>
    </w:p>
    <w:p>
      <w:pPr>
        <w:pStyle w:val="BodyText"/>
      </w:pPr>
      <w:r>
        <w:t xml:space="preserve">Raw PII</w:t>
      </w:r>
    </w:p>
    <w:p>
      <w:pPr>
        <w:pStyle w:val="BodyText"/>
      </w:pPr>
      <w:r>
        <w:t xml:space="preserve">Neo4j:</w:t>
      </w:r>
    </w:p>
    <w:p>
      <w:pPr>
        <w:pStyle w:val="BodyText"/>
      </w:pPr>
      <w:r>
        <w:t xml:space="preserve">Hashed IDs only</w:t>
      </w:r>
    </w:p>
    <w:p>
      <w:pPr>
        <w:pStyle w:val="BodyText"/>
      </w:pPr>
      <w:r>
        <w:t xml:space="preserve">AI Layer:</w:t>
      </w:r>
    </w:p>
    <w:p>
      <w:pPr>
        <w:pStyle w:val="BodyText"/>
      </w:pPr>
      <w:r>
        <w:t xml:space="preserve">No PII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mpliance-auditability"/>
    <w:p>
      <w:pPr>
        <w:pStyle w:val="Heading1"/>
      </w:pPr>
      <w:r>
        <w:t xml:space="preserve">14. Compliance &amp; Auditability</w:t>
      </w:r>
    </w:p>
    <w:p>
      <w:pPr>
        <w:pStyle w:val="FirstParagraph"/>
      </w:pPr>
      <w:r>
        <w:t xml:space="preserve">Recommendation Audit Trail: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26"/>
        </w:numPr>
      </w:pPr>
      <w:r>
        <w:t xml:space="preserve">Agent</w:t>
      </w:r>
    </w:p>
    <w:p>
      <w:pPr>
        <w:pStyle w:val="Compact"/>
        <w:numPr>
          <w:ilvl w:val="0"/>
          <w:numId w:val="1026"/>
        </w:numPr>
      </w:pPr>
      <w:r>
        <w:t xml:space="preserve">Reason</w:t>
      </w:r>
    </w:p>
    <w:p>
      <w:pPr>
        <w:pStyle w:val="Compact"/>
        <w:numPr>
          <w:ilvl w:val="0"/>
          <w:numId w:val="1026"/>
        </w:numPr>
      </w:pPr>
      <w:r>
        <w:t xml:space="preserve">Evidence</w:t>
      </w:r>
    </w:p>
    <w:p>
      <w:pPr>
        <w:pStyle w:val="Compact"/>
        <w:numPr>
          <w:ilvl w:val="0"/>
          <w:numId w:val="1026"/>
        </w:numPr>
      </w:pPr>
      <w:r>
        <w:t xml:space="preserve">Confidence</w:t>
      </w:r>
    </w:p>
    <w:p>
      <w:pPr>
        <w:pStyle w:val="Compact"/>
        <w:numPr>
          <w:ilvl w:val="0"/>
          <w:numId w:val="1026"/>
        </w:numPr>
      </w:pPr>
      <w:r>
        <w:t xml:space="preserve">Timestamp</w:t>
      </w:r>
    </w:p>
    <w:p>
      <w:pPr>
        <w:pStyle w:val="Compact"/>
        <w:numPr>
          <w:ilvl w:val="0"/>
          <w:numId w:val="1026"/>
        </w:numPr>
      </w:pPr>
      <w:r>
        <w:t xml:space="preserve">Customer Decision</w:t>
      </w:r>
    </w:p>
    <w:p>
      <w:pPr>
        <w:pStyle w:val="FirstParagraph"/>
      </w:pPr>
      <w:r>
        <w:t xml:space="preserve">All recommendation history remains auditable.</w:t>
      </w:r>
    </w:p>
    <w:p>
      <w:r>
        <w:pict>
          <v:rect style="width:0;height:1.5pt" o:hralign="center" o:hrstd="t" o:hr="t"/>
        </w:pict>
      </w:r>
    </w:p>
    <w:bookmarkEnd w:id="62"/>
    <w:bookmarkStart w:id="67" w:name="non-functional-requirements"/>
    <w:p>
      <w:pPr>
        <w:pStyle w:val="Heading1"/>
      </w:pPr>
      <w:r>
        <w:t xml:space="preserve">15. Non-Functional Requirements</w:t>
      </w:r>
    </w:p>
    <w:p>
      <w:r>
        <w:pict>
          <v:rect style="width:0;height:1.5pt" o:hralign="center" o:hrstd="t" o:hr="t"/>
        </w:pict>
      </w:r>
    </w:p>
    <w:bookmarkStart w:id="63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Dashboard:</w:t>
      </w:r>
    </w:p>
    <w:p>
      <w:pPr>
        <w:pStyle w:val="BodyText"/>
      </w:pPr>
      <w:r>
        <w:t xml:space="preserve">&lt; 3 seconds</w:t>
      </w:r>
    </w:p>
    <w:p>
      <w:pPr>
        <w:pStyle w:val="BodyText"/>
      </w:pPr>
      <w:r>
        <w:t xml:space="preserve">Recommendation Generation:</w:t>
      </w:r>
    </w:p>
    <w:p>
      <w:pPr>
        <w:pStyle w:val="BodyText"/>
      </w:pPr>
      <w:r>
        <w:t xml:space="preserve">&lt; 10 seconds</w:t>
      </w:r>
    </w:p>
    <w:p>
      <w:pPr>
        <w:pStyle w:val="BodyText"/>
      </w:pPr>
      <w:r>
        <w:t xml:space="preserve">Time To First Insight:</w:t>
      </w:r>
    </w:p>
    <w:p>
      <w:pPr>
        <w:pStyle w:val="BodyText"/>
      </w:pPr>
      <w:r>
        <w:t xml:space="preserve">&lt; 5 minutes</w:t>
      </w:r>
    </w:p>
    <w:p>
      <w:r>
        <w:pict>
          <v:rect style="width:0;height:1.5pt" o:hralign="center" o:hrstd="t" o:hr="t"/>
        </w:pict>
      </w:r>
    </w:p>
    <w:bookmarkEnd w:id="63"/>
    <w:bookmarkStart w:id="64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Target:</w:t>
      </w:r>
    </w:p>
    <w:p>
      <w:pPr>
        <w:pStyle w:val="BodyText"/>
      </w:pPr>
      <w:r>
        <w:t xml:space="preserve">99.5%</w:t>
      </w:r>
    </w:p>
    <w:p>
      <w:r>
        <w:pict>
          <v:rect style="width:0;height:1.5pt" o:hralign="center" o:hrstd="t" o:hr="t"/>
        </w:pict>
      </w:r>
    </w:p>
    <w:bookmarkEnd w:id="64"/>
    <w:bookmarkStart w:id="65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Horizontal scaling supported through:</w:t>
      </w:r>
    </w:p>
    <w:p>
      <w:pPr>
        <w:pStyle w:val="Compact"/>
        <w:numPr>
          <w:ilvl w:val="0"/>
          <w:numId w:val="1027"/>
        </w:numPr>
      </w:pPr>
      <w:r>
        <w:t xml:space="preserve">ECS Fargate</w:t>
      </w:r>
    </w:p>
    <w:p>
      <w:pPr>
        <w:pStyle w:val="Compact"/>
        <w:numPr>
          <w:ilvl w:val="0"/>
          <w:numId w:val="1027"/>
        </w:numPr>
      </w:pPr>
      <w:r>
        <w:t xml:space="preserve">Kafka</w:t>
      </w:r>
    </w:p>
    <w:p>
      <w:pPr>
        <w:pStyle w:val="Compact"/>
        <w:numPr>
          <w:ilvl w:val="0"/>
          <w:numId w:val="1027"/>
        </w:numPr>
      </w:pPr>
      <w:r>
        <w:t xml:space="preserve">Stateless APIs</w:t>
      </w:r>
    </w:p>
    <w:p>
      <w:r>
        <w:pict>
          <v:rect style="width:0;height:1.5pt" o:hralign="center" o:hrstd="t" o:hr="t"/>
        </w:pict>
      </w:r>
    </w:p>
    <w:bookmarkEnd w:id="65"/>
    <w:bookmarkStart w:id="66" w:name="observability"/>
    <w:p>
      <w:pPr>
        <w:pStyle w:val="Heading2"/>
      </w:pPr>
      <w:r>
        <w:t xml:space="preserve">Observability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028"/>
        </w:numPr>
      </w:pPr>
      <w:r>
        <w:t xml:space="preserve">Recommendation latency</w:t>
      </w:r>
    </w:p>
    <w:p>
      <w:pPr>
        <w:pStyle w:val="Compact"/>
        <w:numPr>
          <w:ilvl w:val="0"/>
          <w:numId w:val="1028"/>
        </w:numPr>
      </w:pPr>
      <w:r>
        <w:t xml:space="preserve">Event detection latency</w:t>
      </w:r>
    </w:p>
    <w:p>
      <w:pPr>
        <w:pStyle w:val="Compact"/>
        <w:numPr>
          <w:ilvl w:val="0"/>
          <w:numId w:val="1028"/>
        </w:numPr>
      </w:pPr>
      <w:r>
        <w:t xml:space="preserve">Projection lag</w:t>
      </w:r>
    </w:p>
    <w:p>
      <w:pPr>
        <w:pStyle w:val="Compact"/>
        <w:numPr>
          <w:ilvl w:val="0"/>
          <w:numId w:val="1028"/>
        </w:numPr>
      </w:pPr>
      <w:r>
        <w:t xml:space="preserve">API latency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29"/>
        </w:numPr>
      </w:pPr>
      <w:r>
        <w:t xml:space="preserve">Prometheus</w:t>
      </w:r>
    </w:p>
    <w:p>
      <w:pPr>
        <w:pStyle w:val="Compact"/>
        <w:numPr>
          <w:ilvl w:val="0"/>
          <w:numId w:val="1029"/>
        </w:numPr>
      </w:pPr>
      <w:r>
        <w:t xml:space="preserve">Grafana</w:t>
      </w:r>
    </w:p>
    <w:p>
      <w:pPr>
        <w:pStyle w:val="Compact"/>
        <w:numPr>
          <w:ilvl w:val="0"/>
          <w:numId w:val="1029"/>
        </w:numPr>
      </w:pPr>
      <w:r>
        <w:t xml:space="preserve">CloudWatch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deployment-architecture"/>
    <w:p>
      <w:pPr>
        <w:pStyle w:val="Heading1"/>
      </w:pPr>
      <w:r>
        <w:t xml:space="preserve">16. Deployment Architecture</w:t>
      </w:r>
    </w:p>
    <w:p>
      <w:pPr>
        <w:pStyle w:val="FirstParagraph"/>
      </w:pPr>
      <w:r>
        <w:t xml:space="preserve">AWS Services:</w:t>
      </w:r>
    </w:p>
    <w:p>
      <w:pPr>
        <w:pStyle w:val="Compact"/>
        <w:numPr>
          <w:ilvl w:val="0"/>
          <w:numId w:val="1030"/>
        </w:numPr>
      </w:pPr>
      <w:r>
        <w:t xml:space="preserve">ECS Fargate</w:t>
      </w:r>
    </w:p>
    <w:p>
      <w:pPr>
        <w:pStyle w:val="Compact"/>
        <w:numPr>
          <w:ilvl w:val="0"/>
          <w:numId w:val="1030"/>
        </w:numPr>
      </w:pPr>
      <w:r>
        <w:t xml:space="preserve">PostgreSQL (RDS)</w:t>
      </w:r>
    </w:p>
    <w:p>
      <w:pPr>
        <w:pStyle w:val="Compact"/>
        <w:numPr>
          <w:ilvl w:val="0"/>
          <w:numId w:val="1030"/>
        </w:numPr>
      </w:pPr>
      <w:r>
        <w:t xml:space="preserve">Neo4j</w:t>
      </w:r>
    </w:p>
    <w:p>
      <w:pPr>
        <w:pStyle w:val="Compact"/>
        <w:numPr>
          <w:ilvl w:val="0"/>
          <w:numId w:val="1030"/>
        </w:numPr>
      </w:pPr>
      <w:r>
        <w:t xml:space="preserve">MSK (Kafka)</w:t>
      </w:r>
    </w:p>
    <w:p>
      <w:pPr>
        <w:pStyle w:val="Compact"/>
        <w:numPr>
          <w:ilvl w:val="0"/>
          <w:numId w:val="1030"/>
        </w:numPr>
      </w:pPr>
      <w:r>
        <w:t xml:space="preserve">Secrets Manager</w:t>
      </w:r>
    </w:p>
    <w:p>
      <w:pPr>
        <w:pStyle w:val="Compact"/>
        <w:numPr>
          <w:ilvl w:val="0"/>
          <w:numId w:val="1030"/>
        </w:numPr>
      </w:pPr>
      <w:r>
        <w:t xml:space="preserve">CloudWatch</w:t>
      </w:r>
    </w:p>
    <w:p>
      <w:r>
        <w:pict>
          <v:rect style="width:0;height:1.5pt" o:hralign="center" o:hrstd="t" o:hr="t"/>
        </w:pict>
      </w:r>
    </w:p>
    <w:bookmarkEnd w:id="68"/>
    <w:bookmarkStart w:id="69" w:name="technology-stack"/>
    <w:p>
      <w:pPr>
        <w:pStyle w:val="Heading1"/>
      </w:pPr>
      <w:r>
        <w:t xml:space="preserve">17. Technology Stack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React + Salt DS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Java 21 + Spring Boot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Graph:</w:t>
      </w:r>
    </w:p>
    <w:p>
      <w:pPr>
        <w:pStyle w:val="BodyText"/>
      </w:pPr>
      <w:r>
        <w:t xml:space="preserve">Neo4j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Python + LangGraph</w:t>
      </w:r>
    </w:p>
    <w:p>
      <w:pPr>
        <w:pStyle w:val="BodyText"/>
      </w:pPr>
      <w:r>
        <w:t xml:space="preserve">Messaging:</w:t>
      </w:r>
    </w:p>
    <w:p>
      <w:pPr>
        <w:pStyle w:val="BodyText"/>
      </w:pPr>
      <w:r>
        <w:t xml:space="preserve">Kafka</w:t>
      </w:r>
    </w:p>
    <w:p>
      <w:pPr>
        <w:pStyle w:val="BodyText"/>
      </w:pPr>
      <w:r>
        <w:t xml:space="preserve">Cloud:</w:t>
      </w:r>
    </w:p>
    <w:p>
      <w:pPr>
        <w:pStyle w:val="BodyText"/>
      </w:pPr>
      <w:r>
        <w:t xml:space="preserve">AWS</w:t>
      </w:r>
    </w:p>
    <w:p>
      <w:r>
        <w:pict>
          <v:rect style="width:0;height:1.5pt" o:hralign="center" o:hrstd="t" o:hr="t"/>
        </w:pict>
      </w:r>
    </w:p>
    <w:bookmarkEnd w:id="69"/>
    <w:bookmarkStart w:id="70" w:name="platform-moat"/>
    <w:p>
      <w:pPr>
        <w:pStyle w:val="Heading1"/>
      </w:pPr>
      <w:r>
        <w:t xml:space="preserve">18. Platform Moat</w:t>
      </w:r>
    </w:p>
    <w:p>
      <w:pPr>
        <w:pStyle w:val="FirstParagraph"/>
      </w:pPr>
      <w:r>
        <w:t xml:space="preserve">Most financial applications understand accounts.</w:t>
      </w:r>
    </w:p>
    <w:p>
      <w:pPr>
        <w:pStyle w:val="BodyText"/>
      </w:pPr>
      <w:r>
        <w:t xml:space="preserve">NeoClarity understands households.</w:t>
      </w:r>
    </w:p>
    <w:p>
      <w:pPr>
        <w:pStyle w:val="BodyText"/>
      </w:pPr>
      <w:r>
        <w:t xml:space="preserve">The combination of:</w:t>
      </w:r>
    </w:p>
    <w:p>
      <w:pPr>
        <w:pStyle w:val="Compact"/>
        <w:numPr>
          <w:ilvl w:val="0"/>
          <w:numId w:val="1031"/>
        </w:numPr>
      </w:pPr>
      <w:r>
        <w:t xml:space="preserve">Household Digital Twin</w:t>
      </w:r>
    </w:p>
    <w:p>
      <w:pPr>
        <w:pStyle w:val="Compact"/>
        <w:numPr>
          <w:ilvl w:val="0"/>
          <w:numId w:val="1031"/>
        </w:numPr>
      </w:pPr>
      <w:r>
        <w:t xml:space="preserve">Event Intelligence</w:t>
      </w:r>
    </w:p>
    <w:p>
      <w:pPr>
        <w:pStyle w:val="Compact"/>
        <w:numPr>
          <w:ilvl w:val="0"/>
          <w:numId w:val="1031"/>
        </w:numPr>
      </w:pPr>
      <w:r>
        <w:t xml:space="preserve">Graph Reasoning</w:t>
      </w:r>
    </w:p>
    <w:p>
      <w:pPr>
        <w:pStyle w:val="Compact"/>
        <w:numPr>
          <w:ilvl w:val="0"/>
          <w:numId w:val="1031"/>
        </w:numPr>
      </w:pPr>
      <w:r>
        <w:t xml:space="preserve">Supervisor Agent</w:t>
      </w:r>
    </w:p>
    <w:p>
      <w:pPr>
        <w:pStyle w:val="Compact"/>
        <w:numPr>
          <w:ilvl w:val="0"/>
          <w:numId w:val="1031"/>
        </w:numPr>
      </w:pPr>
      <w:r>
        <w:t xml:space="preserve">Human Approval</w:t>
      </w:r>
    </w:p>
    <w:p>
      <w:pPr>
        <w:pStyle w:val="FirstParagraph"/>
      </w:pPr>
      <w:r>
        <w:t xml:space="preserve">creates a defensible intelligence layer that traditional budgeting platforms do not possess.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 Name:</w:t>
      </w:r>
    </w:p>
    <w:p>
      <w:pPr>
        <w:pStyle w:val="BodyText"/>
      </w:pPr>
      <w:r>
        <w:t xml:space="preserve">NeoClarity</w:t>
      </w:r>
    </w:p>
    <w:p>
      <w:pPr>
        <w:pStyle w:val="BodyText"/>
      </w:pPr>
      <w:r>
        <w:t xml:space="preserve">Tagline:</w:t>
      </w:r>
    </w:p>
    <w:p>
      <w:pPr>
        <w:pStyle w:val="BodyText"/>
      </w:pPr>
      <w:r>
        <w:t xml:space="preserve">Financial Clarity. Trusted Action. Stronger Resilience.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4.1 (Frozen)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2026-06-15T06:39:16Z</dcterms:created>
  <dcterms:modified xsi:type="dcterms:W3CDTF">2026-06-15T06:39:16Z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