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 w:after="0"/>
      </w:pPr>
      <w:r>
        <w:t xml:space="preserve"/>
      </w:r>
    </w:p>
    <w:p>
      <w:pPr>
        <w:spacing w:before="0" w:after="120"/>
        <w:jc w:val="center"/>
      </w:pPr>
      <w:r>
        <w:rPr>
          <w:rFonts w:ascii="Arial" w:cs="Arial" w:eastAsia="Arial" w:hAnsi="Arial"/>
          <w:b/>
          <w:bCs/>
          <w:color w:val="1B3F8B"/>
          <w:sz w:val="72"/>
          <w:szCs w:val="72"/>
        </w:rPr>
        <w:t xml:space="preserve">AUTOMATIZA360</w:t>
      </w:r>
    </w:p>
    <w:p>
      <w:pPr>
        <w:pBdr>
          <w:bottom w:val="single" w:color="00B0F0" w:sz="8" w:space="6"/>
        </w:pBdr>
        <w:spacing w:before="0" w:after="200"/>
        <w:jc w:val="center"/>
      </w:pPr>
      <w:r>
        <w:rPr>
          <w:rFonts w:ascii="Arial" w:cs="Arial" w:eastAsia="Arial" w:hAnsi="Arial"/>
          <w:i/>
          <w:iCs/>
          <w:color w:val="2E75B6"/>
          <w:sz w:val="28"/>
          <w:szCs w:val="28"/>
        </w:rPr>
        <w:t xml:space="preserve">Automatización Inteligente con IA para Pymes Latinoamericanas</w:t>
      </w:r>
    </w:p>
    <w:p>
      <w:pPr>
        <w:spacing w:before="80" w:after="0"/>
      </w:pPr>
      <w:r>
        <w:t xml:space="preserve"/>
      </w:r>
    </w:p>
    <w:p>
      <w:pPr>
        <w:spacing w:before="200" w:after="80"/>
        <w:jc w:val="center"/>
      </w:pPr>
      <w:r>
        <w:rPr>
          <w:rFonts w:ascii="Arial" w:cs="Arial" w:eastAsia="Arial" w:hAnsi="Arial"/>
          <w:b/>
          <w:bCs/>
          <w:color w:val="1B3F8B"/>
          <w:sz w:val="40"/>
          <w:szCs w:val="40"/>
        </w:rPr>
        <w:t xml:space="preserve">PLAN DE NEGOCIOS</w:t>
      </w:r>
    </w:p>
    <w:p>
      <w:pPr>
        <w:spacing w:before="80" w:after="80"/>
        <w:jc w:val="center"/>
      </w:pPr>
      <w:r>
        <w:rPr>
          <w:rFonts w:ascii="Arial" w:cs="Arial" w:eastAsia="Arial" w:hAnsi="Arial"/>
          <w:color w:val="555555"/>
          <w:sz w:val="22"/>
          <w:szCs w:val="22"/>
        </w:rPr>
        <w:t xml:space="preserve">Estudio de Mercado · Proyecciones 10 Años · Estrategia de Publicidad</w:t>
      </w:r>
    </w:p>
    <w:p>
      <w:pPr>
        <w:spacing w:before="240" w:after="0"/>
      </w:pPr>
      <w:r>
        <w:t xml:space="preserve"/>
      </w:r>
    </w:p>
    <w:p>
      <w:pPr>
        <w:spacing w:before="80" w:after="80"/>
        <w:jc w:val="center"/>
      </w:pPr>
      <w:r>
        <w:rPr>
          <w:rFonts w:ascii="Arial" w:cs="Arial" w:eastAsia="Arial" w:hAnsi="Arial"/>
          <w:b/>
          <w:bCs/>
          <w:color w:val="1A1A2E"/>
          <w:sz w:val="22"/>
          <w:szCs w:val="22"/>
        </w:rPr>
        <w:t xml:space="preserve">Versión 1.1  ·  Marzo 2026</w:t>
      </w:r>
    </w:p>
    <w:p>
      <w:pPr>
        <w:spacing w:before="80" w:after="80"/>
        <w:jc w:val="center"/>
      </w:pPr>
      <w:r>
        <w:rPr>
          <w:rFonts w:ascii="Arial" w:cs="Arial" w:eastAsia="Arial" w:hAnsi="Arial"/>
          <w:color w:val="1A1A2E"/>
          <w:sz w:val="22"/>
          <w:szCs w:val="22"/>
        </w:rPr>
        <w:t xml:space="preserve">Cali, Valle del Cauca — Colombia</w:t>
      </w:r>
    </w:p>
    <w:p>
      <w:pPr>
        <w:spacing w:before="160" w:after="0"/>
      </w:pPr>
      <w:r>
        <w:t xml:space="preserve"/>
      </w:r>
    </w:p>
    <w:p>
      <w:pPr>
        <w:spacing w:before="80" w:after="80"/>
        <w:jc w:val="center"/>
      </w:pPr>
      <w:r>
        <w:rPr>
          <w:rFonts w:ascii="Arial" w:cs="Arial" w:eastAsia="Arial" w:hAnsi="Arial"/>
          <w:i/>
          <w:iCs/>
          <w:color w:val="555555"/>
          <w:sz w:val="20"/>
          <w:szCs w:val="20"/>
        </w:rPr>
        <w:t xml:space="preserve">Documento Confidencial — Solo para uso interno y presentación a inversionistas</w:t>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 Resumen Ejecutivo</w:t>
      </w:r>
    </w:p>
    <w:p>
      <w:pPr>
        <w:spacing w:before="80" w:after="80" w:line="276"/>
        <w:jc w:val="both"/>
      </w:pPr>
      <w:r>
        <w:rPr>
          <w:rFonts w:ascii="Arial" w:cs="Arial" w:eastAsia="Arial" w:hAnsi="Arial"/>
          <w:color w:val="1A1A2E"/>
          <w:sz w:val="22"/>
          <w:szCs w:val="22"/>
        </w:rPr>
        <w:t xml:space="preserve">Automatiza360 es una plataforma SaaS B2B que permite a pequeñas y medianas empresas de Latinoamérica automatizar su atención al cliente, ventas e inventario mediante agentes de inteligencia artificial conectados a WhatsApp. El producto está construido, desplegado en producción y tiene los primeros clientes piloto operando.</w:t>
      </w:r>
    </w:p>
    <w:p>
      <w:pPr>
        <w:spacing w:before="80" w:after="0"/>
      </w:pPr>
      <w:r>
        <w:t xml:space="preserve"/>
      </w:r>
    </w:p>
    <w:p>
      <w:pPr>
        <w:spacing w:before="80" w:after="80" w:line="276"/>
        <w:jc w:val="both"/>
      </w:pPr>
      <w:r>
        <w:rPr>
          <w:rFonts w:ascii="Arial" w:cs="Arial" w:eastAsia="Arial" w:hAnsi="Arial"/>
          <w:color w:val="1A1A2E"/>
          <w:sz w:val="22"/>
          <w:szCs w:val="22"/>
        </w:rPr>
        <w:t xml:space="preserve">La empresa es operada por un equipo de cuatro cofundadores con perfiles complementarios: ingeniería de sistemas, administración de empresas, ingeniería electrónica y economía. La estructura de costos es mínima, con márgenes netos proyectados superiores al 85% desde el primer año completo de operación. Sin nómina fija en los primeros 18 meses, la empresa proyecta alcanzar rentabilidad desde el segundo mes de operación comercial.</w:t>
      </w:r>
    </w:p>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Proyecciones propias. ARPU base: COP $219.850/mes (~USD $54). Churn inicial: 3%/mes. TRM: COP $4.100/USD.</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2. El Problema y la Oportunidad de Mercado</w:t>
      </w:r>
    </w:p>
    <w:p>
      <w:pPr>
        <w:pStyle w:val="Heading2"/>
        <w:spacing w:before="280" w:after="120"/>
      </w:pPr>
      <w:r>
        <w:rPr>
          <w:rFonts w:ascii="Arial" w:cs="Arial" w:eastAsia="Arial" w:hAnsi="Arial"/>
          <w:b/>
          <w:bCs/>
          <w:color w:val="2E75B6"/>
          <w:sz w:val="26"/>
          <w:szCs w:val="26"/>
        </w:rPr>
        <w:t xml:space="preserve">2.1 El Problema</w:t>
      </w:r>
    </w:p>
    <w:p>
      <w:pPr>
        <w:spacing w:before="80" w:after="80" w:line="276"/>
        <w:jc w:val="both"/>
      </w:pPr>
      <w:r>
        <w:rPr>
          <w:rFonts w:ascii="Arial" w:cs="Arial" w:eastAsia="Arial" w:hAnsi="Arial"/>
          <w:color w:val="1A1A2E"/>
          <w:sz w:val="22"/>
          <w:szCs w:val="22"/>
        </w:rPr>
        <w:t xml:space="preserve">Las pymes latinoamericanas enfrentan un cuello de botella crítico en su atención al cliente: WhatsApp es el canal principal de comunicación comercial, pero atenderlo de forma manual es insostenible. Un negocio típico recibe entre 50 y 300 mensajes diarios de clientes preguntando precios, disponibilidad, horarios y estados de pedidos — todos requiriendo respuesta inmediata, los 7 días de la semana.</w:t>
      </w:r>
    </w:p>
    <w:p>
      <w:pPr>
        <w:spacing w:before="80" w:after="0"/>
      </w:pPr>
      <w:r>
        <w:t xml:space="preserve"/>
      </w:r>
    </w:p>
    <w:p>
      <w:pPr>
        <w:spacing w:before="80" w:after="80" w:line="276"/>
        <w:jc w:val="left"/>
      </w:pPr>
      <w:r>
        <w:rPr>
          <w:rFonts w:ascii="Arial" w:cs="Arial" w:eastAsia="Arial" w:hAnsi="Arial"/>
          <w:color w:val="1A1A2E"/>
          <w:sz w:val="22"/>
          <w:szCs w:val="22"/>
        </w:rPr>
        <w:t xml:space="preserve">Las consecuencias directas son:</w:t>
      </w:r>
    </w:p>
    <w:p>
      <w:pPr>
        <w:pStyle w:val="ListParagraph"/>
        <w:numPr>
          <w:ilvl w:val="0"/>
          <w:numId w:val="2"/>
        </w:numPr>
        <w:spacing w:before="60" w:after="60" w:line="260"/>
      </w:pPr>
      <w:r>
        <w:rPr>
          <w:rFonts w:ascii="Arial" w:cs="Arial" w:eastAsia="Arial" w:hAnsi="Arial"/>
          <w:color w:val="1A1A2E"/>
          <w:sz w:val="22"/>
          <w:szCs w:val="22"/>
        </w:rPr>
        <w:t xml:space="preserve">Respuestas tardías que resultan en ventas perdidas.</w:t>
      </w:r>
    </w:p>
    <w:p>
      <w:pPr>
        <w:pStyle w:val="ListParagraph"/>
        <w:numPr>
          <w:ilvl w:val="0"/>
          <w:numId w:val="2"/>
        </w:numPr>
        <w:spacing w:before="60" w:after="60" w:line="260"/>
      </w:pPr>
      <w:r>
        <w:rPr>
          <w:rFonts w:ascii="Arial" w:cs="Arial" w:eastAsia="Arial" w:hAnsi="Arial"/>
          <w:color w:val="1A1A2E"/>
          <w:sz w:val="22"/>
          <w:szCs w:val="22"/>
        </w:rPr>
        <w:t xml:space="preserve">Propietarios y empleados gastando 3–5 horas diarias respondiendo mensajes repetitivos.</w:t>
      </w:r>
    </w:p>
    <w:p>
      <w:pPr>
        <w:pStyle w:val="ListParagraph"/>
        <w:numPr>
          <w:ilvl w:val="0"/>
          <w:numId w:val="2"/>
        </w:numPr>
        <w:spacing w:before="60" w:after="60" w:line="260"/>
      </w:pPr>
      <w:r>
        <w:rPr>
          <w:rFonts w:ascii="Arial" w:cs="Arial" w:eastAsia="Arial" w:hAnsi="Arial"/>
          <w:color w:val="1A1A2E"/>
          <w:sz w:val="22"/>
          <w:szCs w:val="22"/>
        </w:rPr>
        <w:t xml:space="preserve">Inventarios desactualizados que generan promesas incumplibles al cliente.</w:t>
      </w:r>
    </w:p>
    <w:p>
      <w:pPr>
        <w:pStyle w:val="ListParagraph"/>
        <w:numPr>
          <w:ilvl w:val="0"/>
          <w:numId w:val="2"/>
        </w:numPr>
        <w:spacing w:before="60" w:after="60" w:line="260"/>
      </w:pPr>
      <w:r>
        <w:rPr>
          <w:rFonts w:ascii="Arial" w:cs="Arial" w:eastAsia="Arial" w:hAnsi="Arial"/>
          <w:color w:val="1A1A2E"/>
          <w:sz w:val="22"/>
          <w:szCs w:val="22"/>
        </w:rPr>
        <w:t xml:space="preserve">Cero datos sobre qué preguntan los clientes y cuándo.</w:t>
      </w:r>
    </w:p>
    <w:p>
      <w:pPr>
        <w:spacing w:before="80" w:after="0"/>
      </w:pPr>
      <w:r>
        <w:t xml:space="preserve"/>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Leadsales.io (2025): CRM conversacional LatAm. Aurora Inbox (2026): WhatsApp Business Latam. Chatfuel Blog (2024): WhatsApp Business Statistics.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2.2 Por Qué Este Momento Es Ideal</w:t>
      </w:r>
    </w:p>
    <w:p>
      <w:pPr>
        <w:pStyle w:val="ListParagraph"/>
        <w:numPr>
          <w:ilvl w:val="0"/>
          <w:numId w:val="2"/>
        </w:numPr>
        <w:spacing w:before="60" w:after="60" w:line="260"/>
      </w:pPr>
      <w:r>
        <w:rPr>
          <w:rFonts w:ascii="Arial" w:cs="Arial" w:eastAsia="Arial" w:hAnsi="Arial"/>
          <w:color w:val="1A1A2E"/>
          <w:sz w:val="22"/>
          <w:szCs w:val="22"/>
        </w:rPr>
        <w:t xml:space="preserve">WhatsApp tiene más de 2 billones de usuarios activos globales. En Colombia, penetración superior al 90% de la población adulta.</w:t>
      </w:r>
    </w:p>
    <w:p>
      <w:pPr>
        <w:pStyle w:val="ListParagraph"/>
        <w:numPr>
          <w:ilvl w:val="0"/>
          <w:numId w:val="2"/>
        </w:numPr>
        <w:spacing w:before="60" w:after="60" w:line="260"/>
      </w:pPr>
      <w:r>
        <w:rPr>
          <w:rFonts w:ascii="Arial" w:cs="Arial" w:eastAsia="Arial" w:hAnsi="Arial"/>
          <w:color w:val="1A1A2E"/>
          <w:sz w:val="22"/>
          <w:szCs w:val="22"/>
        </w:rPr>
        <w:t xml:space="preserve">La adopción de IA generativa en empresas creció 72% desde 2024 (McKinsey &amp; Company, 2024).</w:t>
      </w:r>
    </w:p>
    <w:p>
      <w:pPr>
        <w:pStyle w:val="ListParagraph"/>
        <w:numPr>
          <w:ilvl w:val="0"/>
          <w:numId w:val="2"/>
        </w:numPr>
        <w:spacing w:before="60" w:after="60" w:line="260"/>
      </w:pPr>
      <w:r>
        <w:rPr>
          <w:rFonts w:ascii="Arial" w:cs="Arial" w:eastAsia="Arial" w:hAnsi="Arial"/>
          <w:color w:val="1A1A2E"/>
          <w:sz w:val="22"/>
          <w:szCs w:val="22"/>
        </w:rPr>
        <w:t xml:space="preserve">El mercado SaaS en LatAm crece a 23% anual, el más rápido del mundo (EBANX, agosto 2025).</w:t>
      </w:r>
    </w:p>
    <w:p>
      <w:pPr>
        <w:pStyle w:val="ListParagraph"/>
        <w:numPr>
          <w:ilvl w:val="0"/>
          <w:numId w:val="2"/>
        </w:numPr>
        <w:spacing w:before="60" w:after="60" w:line="260"/>
      </w:pPr>
      <w:r>
        <w:rPr>
          <w:rFonts w:ascii="Arial" w:cs="Arial" w:eastAsia="Arial" w:hAnsi="Arial"/>
          <w:color w:val="1A1A2E"/>
          <w:sz w:val="22"/>
          <w:szCs w:val="22"/>
        </w:rPr>
        <w:t xml:space="preserve">El 75,21% de las pymes colombianas tiene menos del 20% de sus procesos automatizados — brecha masiva sin cubrir (Muñoz-Pinzón et al., 2024).</w:t>
      </w:r>
    </w:p>
    <w:p>
      <w:pPr>
        <w:pStyle w:val="ListParagraph"/>
        <w:numPr>
          <w:ilvl w:val="0"/>
          <w:numId w:val="2"/>
        </w:numPr>
        <w:spacing w:before="60" w:after="60" w:line="260"/>
      </w:pPr>
      <w:r>
        <w:rPr>
          <w:rFonts w:ascii="Arial" w:cs="Arial" w:eastAsia="Arial" w:hAnsi="Arial"/>
          <w:color w:val="1A1A2E"/>
          <w:sz w:val="22"/>
          <w:szCs w:val="22"/>
        </w:rPr>
        <w:t xml:space="preserve">Los costos de IA generativa (Google Gemini) cayeron más del 80% entre 2023 y 2025, haciendo viable el producto a escala.</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3. Estudio de Mercado y Tamaño de Oportunidad</w:t>
      </w:r>
    </w:p>
    <w:p>
      <w:pPr>
        <w:pStyle w:val="Heading2"/>
        <w:spacing w:before="280" w:after="120"/>
      </w:pPr>
      <w:r>
        <w:rPr>
          <w:rFonts w:ascii="Arial" w:cs="Arial" w:eastAsia="Arial" w:hAnsi="Arial"/>
          <w:b/>
          <w:bCs/>
          <w:color w:val="2E75B6"/>
          <w:sz w:val="26"/>
          <w:szCs w:val="26"/>
        </w:rPr>
        <w:t xml:space="preserve">3.1 Mercado Global SaaS — Contexto</w:t>
      </w:r>
    </w:p>
    <w:p>
      <w:pPr>
        <w:spacing w:before="80" w:after="80" w:line="276"/>
        <w:jc w:val="both"/>
      </w:pPr>
      <w:r>
        <w:rPr>
          <w:rFonts w:ascii="Arial" w:cs="Arial" w:eastAsia="Arial" w:hAnsi="Arial"/>
          <w:color w:val="1A1A2E"/>
          <w:sz w:val="22"/>
          <w:szCs w:val="22"/>
        </w:rPr>
        <w:t xml:space="preserve">El mercado global de Software como Servicio (SaaS) alcanzó USD $408 billones en 2025 y se proyecta a USD $1.367 billones para 2035, con una CAGR del 12,85% (Precedence Research, enero 2026). El segmento de IA conversacional dentro de SaaS es el de mayor crecimiento, con adopción acelerada en mercados emergentes.</w:t>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Precedence Research (2026): Global SaaS Market Size &amp; Forecast 2026–2035. IMARC Group (2026): Latin America SaaS Market Report.</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3.2 Mercado SaaS en América Latina</w:t>
      </w:r>
    </w:p>
    <w:p>
      <w:pPr>
        <w:spacing w:before="80" w:after="80" w:line="276"/>
        <w:jc w:val="both"/>
      </w:pPr>
      <w:r>
        <w:rPr>
          <w:rFonts w:ascii="Arial" w:cs="Arial" w:eastAsia="Arial" w:hAnsi="Arial"/>
          <w:color w:val="1A1A2E"/>
          <w:sz w:val="22"/>
          <w:szCs w:val="22"/>
        </w:rPr>
        <w:t xml:space="preserve">Colombia, Argentina y Chile lideran el crecimiento secundario de LatAm con tasas superiores al 20% anual, con Colombia emergiendo como tercer mercado estratégico de la región (Kairos Aureum LLC, 2025). La sub-penetración de SaaS en Colombia representa una oportunidad de primer entrante para jugadores locales.</w:t>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Grand View Research (2024). Latin America SaaS Market Outlook 2024–2030. Kairos Aureum (2025). LatAm SaaS Expansion Playbook.</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3.3 Universo de Pymes por Geografía</w:t>
      </w:r>
    </w:p>
    <w:p>
      <w:pPr>
        <w:spacing w:before="80" w:after="80" w:line="276"/>
        <w:jc w:val="left"/>
      </w:pPr>
      <w:r>
        <w:rPr>
          <w:rFonts w:ascii="Arial" w:cs="Arial" w:eastAsia="Arial" w:hAnsi="Arial"/>
          <w:color w:val="1A1A2E"/>
          <w:sz w:val="22"/>
          <w:szCs w:val="22"/>
        </w:rPr>
        <w:t xml:space="preserve">La estrategia de Automatiza360 contempla una expansión geográfica en 3 fases: comenzando en Cali y Valle del Cauca, expandiéndose a Colombia nacional en el año 2, y alcanzando LatAm desde el año 3.</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360"/>
        <w:gridCol w:w="2400"/>
      </w:tblGrid>
      <w:tr>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Fase</w:t>
            </w:r>
          </w:p>
        </w:tc>
        <w:tc>
          <w:tcPr>
            <w:tcW w:type="dxa" w:w="2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Mercado</w:t>
            </w:r>
          </w:p>
        </w:tc>
        <w:tc>
          <w:tcPr>
            <w:tcW w:type="dxa" w:w="23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Empresas objetivo</w:t>
            </w:r>
          </w:p>
        </w:tc>
        <w:tc>
          <w:tcPr>
            <w:tcW w:type="dxa" w:w="2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Horizonte</w:t>
            </w:r>
          </w:p>
        </w:tc>
      </w:tr>
      <w:tr>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Fase 1</w:t>
            </w:r>
          </w:p>
        </w:tc>
        <w:tc>
          <w:tcPr>
            <w:tcW w:type="dxa" w:w="2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Cali y Valle del Cauca</w:t>
            </w:r>
          </w:p>
        </w:tc>
        <w:tc>
          <w:tcPr>
            <w:tcW w:type="dxa" w:w="23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~8.500 pymes</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Año 1</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Fase 2</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Colombia nacional</w:t>
            </w:r>
          </w:p>
        </w:tc>
        <w:tc>
          <w:tcPr>
            <w:tcW w:type="dxa" w:w="2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~130.000 pymes</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Año 2</w:t>
            </w:r>
          </w:p>
        </w:tc>
      </w:tr>
      <w:tr>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Fase 3</w:t>
            </w:r>
          </w:p>
        </w:tc>
        <w:tc>
          <w:tcPr>
            <w:tcW w:type="dxa" w:w="2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LatAm (CO, MX, AR, CL, PE)</w:t>
            </w:r>
          </w:p>
        </w:tc>
        <w:tc>
          <w:tcPr>
            <w:tcW w:type="dxa" w:w="23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&gt;11.000.000 pymes</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Año 3+</w:t>
            </w:r>
          </w:p>
        </w:tc>
      </w:tr>
    </w:tbl>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Objetivo automatizable: PyMEs que ya usan WhatsApp Business para atención al cliente con volumen de &gt;30 mensajes/día.</w:t>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Cámara de Comercio de Cali (2024). Confecámaras/RUES (Enero 2025). OECD (2024): SME Policy Index Latin America.</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3.4 Adopción de WhatsApp Business — Datos Clave</w:t>
      </w:r>
    </w:p>
    <w:p>
      <w:pPr>
        <w:pStyle w:val="ListParagraph"/>
        <w:numPr>
          <w:ilvl w:val="0"/>
          <w:numId w:val="2"/>
        </w:numPr>
        <w:spacing w:before="60" w:after="60" w:line="260"/>
      </w:pPr>
      <w:r>
        <w:rPr>
          <w:rFonts w:ascii="Arial" w:cs="Arial" w:eastAsia="Arial" w:hAnsi="Arial"/>
          <w:color w:val="1A1A2E"/>
          <w:sz w:val="22"/>
          <w:szCs w:val="22"/>
        </w:rPr>
        <w:t xml:space="preserve">Colombia es el tercer mercado más importante de WhatsApp Business en LatAm.</w:t>
      </w:r>
    </w:p>
    <w:p>
      <w:pPr>
        <w:pStyle w:val="ListParagraph"/>
        <w:numPr>
          <w:ilvl w:val="0"/>
          <w:numId w:val="2"/>
        </w:numPr>
        <w:spacing w:before="60" w:after="60" w:line="260"/>
      </w:pPr>
      <w:r>
        <w:rPr>
          <w:rFonts w:ascii="Arial" w:cs="Arial" w:eastAsia="Arial" w:hAnsi="Arial"/>
          <w:color w:val="1A1A2E"/>
          <w:sz w:val="22"/>
          <w:szCs w:val="22"/>
        </w:rPr>
        <w:t xml:space="preserve">87% de empresas LatAm usan WhatsApp con clientes (Aurora Inbox, 2026).</w:t>
      </w:r>
    </w:p>
    <w:p>
      <w:pPr>
        <w:pStyle w:val="ListParagraph"/>
        <w:numPr>
          <w:ilvl w:val="0"/>
          <w:numId w:val="2"/>
        </w:numPr>
        <w:spacing w:before="60" w:after="60" w:line="260"/>
      </w:pPr>
      <w:r>
        <w:rPr>
          <w:rFonts w:ascii="Arial" w:cs="Arial" w:eastAsia="Arial" w:hAnsi="Arial"/>
          <w:color w:val="1A1A2E"/>
          <w:sz w:val="22"/>
          <w:szCs w:val="22"/>
        </w:rPr>
        <w:t xml:space="preserve">Chatbots WhatsApp generan +500% leads y tasa de conversión del 28% (Chatfuel, 2024).</w:t>
      </w:r>
    </w:p>
    <w:p>
      <w:pPr>
        <w:pStyle w:val="ListParagraph"/>
        <w:numPr>
          <w:ilvl w:val="0"/>
          <w:numId w:val="2"/>
        </w:numPr>
        <w:spacing w:before="60" w:after="60" w:line="260"/>
      </w:pPr>
      <w:r>
        <w:rPr>
          <w:rFonts w:ascii="Arial" w:cs="Arial" w:eastAsia="Arial" w:hAnsi="Arial"/>
          <w:color w:val="1A1A2E"/>
          <w:sz w:val="22"/>
          <w:szCs w:val="22"/>
        </w:rPr>
        <w:t xml:space="preserve">68% de usuarios prefieren contactar empresas por WhatsApp antes que por email o teléfono.</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4. Análisis Competitivo</w:t>
      </w:r>
    </w:p>
    <w:p>
      <w:pPr>
        <w:spacing w:before="80" w:after="80" w:line="276"/>
        <w:jc w:val="both"/>
      </w:pPr>
      <w:r>
        <w:rPr>
          <w:rFonts w:ascii="Arial" w:cs="Arial" w:eastAsia="Arial" w:hAnsi="Arial"/>
          <w:color w:val="1A1A2E"/>
          <w:sz w:val="22"/>
          <w:szCs w:val="22"/>
        </w:rPr>
        <w:t xml:space="preserve">El mercado de automatización conversacional está fragmentado. Los competidores globales son costosos y no hablan el idioma del mercado local. Los competidores locales carecen de IA real. Automatiza360 ocupa el punto óptimo: IA real + precio LatAm + soporte en español + conocimiento del mercado colombiano.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500"/>
        <w:gridCol w:w="2660"/>
      </w:tblGrid>
      <w:tr>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Plataforma</w:t>
            </w:r>
          </w:p>
        </w:tc>
        <w:tc>
          <w:tcPr>
            <w:tcW w:type="dxa" w:w="1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Precio/mes</w:t>
            </w:r>
          </w:p>
        </w:tc>
        <w:tc>
          <w:tcPr>
            <w:tcW w:type="dxa" w:w="1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IA real</w:t>
            </w:r>
          </w:p>
        </w:tc>
        <w:tc>
          <w:tcPr>
            <w:tcW w:type="dxa" w:w="15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Soporte ES</w:t>
            </w:r>
          </w:p>
        </w:tc>
        <w:tc>
          <w:tcPr>
            <w:tcW w:type="dxa" w:w="26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Observación</w:t>
            </w:r>
          </w:p>
        </w:tc>
      </w:tr>
      <w:tr>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WATI</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$49+</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B71C1C"/>
                <w:sz w:val="20"/>
                <w:szCs w:val="20"/>
              </w:rPr>
              <w:t xml:space="preserve">No</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Parcial</w:t>
            </w:r>
          </w:p>
        </w:tc>
        <w:tc>
          <w:tcPr>
            <w:tcW w:type="dxa" w:w="26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Sin IA generativa; flujos fijos</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Respond.io</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$79+</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Básica</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B71C1C"/>
                <w:sz w:val="20"/>
                <w:szCs w:val="20"/>
              </w:rPr>
              <w:t xml:space="preserve">No</w:t>
            </w:r>
          </w:p>
        </w:tc>
        <w:tc>
          <w:tcPr>
            <w:tcW w:type="dxa" w:w="26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Orientado a enterprise</w:t>
            </w:r>
          </w:p>
        </w:tc>
      </w:tr>
      <w:tr>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ManyChat</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$15+</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B71C1C"/>
                <w:sz w:val="20"/>
                <w:szCs w:val="20"/>
              </w:rPr>
              <w:t xml:space="preserve">No</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Parcial</w:t>
            </w:r>
          </w:p>
        </w:tc>
        <w:tc>
          <w:tcPr>
            <w:tcW w:type="dxa" w:w="26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Enfocado en redes sociales</w:t>
            </w:r>
          </w:p>
        </w:tc>
      </w:tr>
      <w:tr>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Landbot</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$40+</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Básica</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Parcial</w:t>
            </w:r>
          </w:p>
        </w:tc>
        <w:tc>
          <w:tcPr>
            <w:tcW w:type="dxa" w:w="26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Sin inventario dinámico</w:t>
            </w:r>
          </w:p>
        </w:tc>
      </w:tr>
      <w:tr>
        <w:tc>
          <w:tcPr>
            <w:tcW w:type="dxa" w:w="2000"/>
            <w:tcBorders>
              <w:top w:val="single" w:color="D9D9D9" w:sz="1"/>
              <w:left w:val="single" w:color="D9D9D9" w:sz="1"/>
              <w:bottom w:val="single" w:color="D9D9D9" w:sz="1"/>
              <w:right w:val="single" w:color="D9D9D9" w:sz="1"/>
            </w:tcBorders>
            <w:shd w:fill="E3F2FD"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Automatiza360</w:t>
            </w:r>
          </w:p>
        </w:tc>
        <w:tc>
          <w:tcPr>
            <w:tcW w:type="dxa" w:w="1600"/>
            <w:tcBorders>
              <w:top w:val="single" w:color="D9D9D9" w:sz="1"/>
              <w:left w:val="single" w:color="D9D9D9" w:sz="1"/>
              <w:bottom w:val="single" w:color="D9D9D9" w:sz="1"/>
              <w:right w:val="single" w:color="D9D9D9" w:sz="1"/>
            </w:tcBorders>
            <w:shd w:fill="E3F2FD"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$54+</w:t>
            </w:r>
          </w:p>
        </w:tc>
        <w:tc>
          <w:tcPr>
            <w:tcW w:type="dxa" w:w="1600"/>
            <w:tcBorders>
              <w:top w:val="single" w:color="D9D9D9" w:sz="1"/>
              <w:left w:val="single" w:color="D9D9D9" w:sz="1"/>
              <w:bottom w:val="single" w:color="D9D9D9" w:sz="1"/>
              <w:right w:val="single" w:color="D9D9D9" w:sz="1"/>
            </w:tcBorders>
            <w:shd w:fill="E3F2FD"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Sí — Gemini 2.5</w:t>
            </w:r>
          </w:p>
        </w:tc>
        <w:tc>
          <w:tcPr>
            <w:tcW w:type="dxa" w:w="1500"/>
            <w:tcBorders>
              <w:top w:val="single" w:color="D9D9D9" w:sz="1"/>
              <w:left w:val="single" w:color="D9D9D9" w:sz="1"/>
              <w:bottom w:val="single" w:color="D9D9D9" w:sz="1"/>
              <w:right w:val="single" w:color="D9D9D9" w:sz="1"/>
            </w:tcBorders>
            <w:shd w:fill="E3F2FD"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Sí</w:t>
            </w:r>
          </w:p>
        </w:tc>
        <w:tc>
          <w:tcPr>
            <w:tcW w:type="dxa" w:w="2660"/>
            <w:tcBorders>
              <w:top w:val="single" w:color="D9D9D9" w:sz="1"/>
              <w:left w:val="single" w:color="D9D9D9" w:sz="1"/>
              <w:bottom w:val="single" w:color="D9D9D9" w:sz="1"/>
              <w:right w:val="single" w:color="D9D9D9" w:sz="1"/>
            </w:tcBorders>
            <w:shd w:fill="E3F2FD"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IA real + precio LatAm</w:t>
            </w:r>
          </w:p>
        </w:tc>
      </w:tr>
    </w:tbl>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La ventaja diferencial clave es la integración real de IA generativa (Google Gemini) con inventario dinámico, a precios accesibles para pymes colombianas.</w:t>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Adratechsystems.com (Febrero 2026): Comparativa WATI, ManyChat, Respond.io, Landbot. Visitoai.com (2025): Las 7 mejores soluciones IA WhatsApp.</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5. El Producto — Automatiza360</w:t>
      </w:r>
    </w:p>
    <w:p>
      <w:pPr>
        <w:spacing w:before="80" w:after="80" w:line="276"/>
        <w:jc w:val="both"/>
      </w:pPr>
      <w:r>
        <w:rPr>
          <w:rFonts w:ascii="Arial" w:cs="Arial" w:eastAsia="Arial" w:hAnsi="Arial"/>
          <w:color w:val="1A1A2E"/>
          <w:sz w:val="22"/>
          <w:szCs w:val="22"/>
        </w:rPr>
        <w:t xml:space="preserve">Automatiza360 es una plataforma multi-tenant construida en producción y operando con clientes piloto reales desde enero 2026. La arquitectura está diseñada para escalar desde 10 hasta 10.000 empresas sin refactorización mayor.</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5.1 Stack Tecnológico en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Capa</w:t>
            </w:r>
          </w:p>
        </w:tc>
        <w:tc>
          <w:tcPr>
            <w:tcW w:type="dxa" w:w="69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Tecnología</w:t>
            </w:r>
          </w:p>
        </w:tc>
      </w:tr>
      <w:tr>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Backend</w:t>
            </w:r>
          </w:p>
        </w:tc>
        <w:tc>
          <w:tcPr>
            <w:tcW w:type="dxa" w:w="69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NestJS + Prisma 7 + PostgreSQL (Supabase) — Railway</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Frontend</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React + TypeScript + Vite + Tailwind CSS — Vercel</w:t>
            </w:r>
          </w:p>
        </w:tc>
      </w:tr>
      <w:tr>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AI Service</w:t>
            </w:r>
          </w:p>
        </w:tc>
        <w:tc>
          <w:tcPr>
            <w:tcW w:type="dxa" w:w="69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Python FastAPI + Google Gemini 2.5 Flash — Railway</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WhatsApp</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Twilio API — Sandbox + producción</w:t>
            </w:r>
          </w:p>
        </w:tc>
      </w:tr>
      <w:tr>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Pagos</w:t>
            </w:r>
          </w:p>
        </w:tc>
        <w:tc>
          <w:tcPr>
            <w:tcW w:type="dxa" w:w="69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Wompi (flujo redirect, activación automática de plan)</w:t>
            </w:r>
          </w:p>
        </w:tc>
      </w:tr>
      <w:tr>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Auth</w:t>
            </w:r>
          </w:p>
        </w:tc>
        <w:tc>
          <w:tcPr>
            <w:tcW w:type="dxa" w:w="6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JWT multi-tenant con aislamiento por tenantId</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5.2 Funcionalidades en Producción</w:t>
      </w:r>
    </w:p>
    <w:p>
      <w:pPr>
        <w:pStyle w:val="ListParagraph"/>
        <w:numPr>
          <w:ilvl w:val="0"/>
          <w:numId w:val="2"/>
        </w:numPr>
        <w:spacing w:before="60" w:after="60" w:line="260"/>
      </w:pPr>
      <w:r>
        <w:rPr>
          <w:rFonts w:ascii="Arial" w:cs="Arial" w:eastAsia="Arial" w:hAnsi="Arial"/>
          <w:color w:val="1A1A2E"/>
          <w:sz w:val="22"/>
          <w:szCs w:val="22"/>
        </w:rPr>
        <w:t xml:space="preserve">Bot WhatsApp con IA multi-industria (restaurante, tienda tech, clínica, salón de belleza)</w:t>
      </w:r>
    </w:p>
    <w:p>
      <w:pPr>
        <w:pStyle w:val="ListParagraph"/>
        <w:numPr>
          <w:ilvl w:val="0"/>
          <w:numId w:val="2"/>
        </w:numPr>
        <w:spacing w:before="60" w:after="60" w:line="260"/>
      </w:pPr>
      <w:r>
        <w:rPr>
          <w:rFonts w:ascii="Arial" w:cs="Arial" w:eastAsia="Arial" w:hAnsi="Arial"/>
          <w:color w:val="1A1A2E"/>
          <w:sz w:val="22"/>
          <w:szCs w:val="22"/>
        </w:rPr>
        <w:t xml:space="preserve">Agendamiento de citas con disponibilidad por profesional y calendario visual</w:t>
      </w:r>
    </w:p>
    <w:p>
      <w:pPr>
        <w:pStyle w:val="ListParagraph"/>
        <w:numPr>
          <w:ilvl w:val="0"/>
          <w:numId w:val="2"/>
        </w:numPr>
        <w:spacing w:before="60" w:after="60" w:line="260"/>
      </w:pPr>
      <w:r>
        <w:rPr>
          <w:rFonts w:ascii="Arial" w:cs="Arial" w:eastAsia="Arial" w:hAnsi="Arial"/>
          <w:color w:val="1A1A2E"/>
          <w:sz w:val="22"/>
          <w:szCs w:val="22"/>
        </w:rPr>
        <w:t xml:space="preserve">Integración Google Calendar / Outlook (.ics)</w:t>
      </w:r>
    </w:p>
    <w:p>
      <w:pPr>
        <w:pStyle w:val="ListParagraph"/>
        <w:numPr>
          <w:ilvl w:val="0"/>
          <w:numId w:val="2"/>
        </w:numPr>
        <w:spacing w:before="60" w:after="60" w:line="260"/>
      </w:pPr>
      <w:r>
        <w:rPr>
          <w:rFonts w:ascii="Arial" w:cs="Arial" w:eastAsia="Arial" w:hAnsi="Arial"/>
          <w:color w:val="1A1A2E"/>
          <w:sz w:val="22"/>
          <w:szCs w:val="22"/>
        </w:rPr>
        <w:t xml:space="preserve">Notificaciones WhatsApp automáticas al cambiar estado de cita</w:t>
      </w:r>
    </w:p>
    <w:p>
      <w:pPr>
        <w:pStyle w:val="ListParagraph"/>
        <w:numPr>
          <w:ilvl w:val="0"/>
          <w:numId w:val="2"/>
        </w:numPr>
        <w:spacing w:before="60" w:after="60" w:line="260"/>
      </w:pPr>
      <w:r>
        <w:rPr>
          <w:rFonts w:ascii="Arial" w:cs="Arial" w:eastAsia="Arial" w:hAnsi="Arial"/>
          <w:color w:val="1A1A2E"/>
          <w:sz w:val="22"/>
          <w:szCs w:val="22"/>
        </w:rPr>
        <w:t xml:space="preserve">Recordatorios automáticos 24h antes de la cita vía WhatsApp (cron job)</w:t>
      </w:r>
    </w:p>
    <w:p>
      <w:pPr>
        <w:pStyle w:val="ListParagraph"/>
        <w:numPr>
          <w:ilvl w:val="0"/>
          <w:numId w:val="2"/>
        </w:numPr>
        <w:spacing w:before="60" w:after="60" w:line="260"/>
      </w:pPr>
      <w:r>
        <w:rPr>
          <w:rFonts w:ascii="Arial" w:cs="Arial" w:eastAsia="Arial" w:hAnsi="Arial"/>
          <w:color w:val="1A1A2E"/>
          <w:sz w:val="22"/>
          <w:szCs w:val="22"/>
        </w:rPr>
        <w:t xml:space="preserve">Panel SUPERADMIN con métricas globales y gestión de tenants</w:t>
      </w:r>
    </w:p>
    <w:p>
      <w:pPr>
        <w:pStyle w:val="ListParagraph"/>
        <w:numPr>
          <w:ilvl w:val="0"/>
          <w:numId w:val="2"/>
        </w:numPr>
        <w:spacing w:before="60" w:after="60" w:line="260"/>
      </w:pPr>
      <w:r>
        <w:rPr>
          <w:rFonts w:ascii="Arial" w:cs="Arial" w:eastAsia="Arial" w:hAnsi="Arial"/>
          <w:color w:val="1A1A2E"/>
          <w:sz w:val="22"/>
          <w:szCs w:val="22"/>
        </w:rPr>
        <w:t xml:space="preserve">Dashboard de métricas por tenant (citas, órdenes, conversaciones)</w:t>
      </w:r>
    </w:p>
    <w:p>
      <w:pPr>
        <w:pStyle w:val="ListParagraph"/>
        <w:numPr>
          <w:ilvl w:val="0"/>
          <w:numId w:val="2"/>
        </w:numPr>
        <w:spacing w:before="60" w:after="60" w:line="260"/>
      </w:pPr>
      <w:r>
        <w:rPr>
          <w:rFonts w:ascii="Arial" w:cs="Arial" w:eastAsia="Arial" w:hAnsi="Arial"/>
          <w:color w:val="1A1A2E"/>
          <w:sz w:val="22"/>
          <w:szCs w:val="22"/>
        </w:rPr>
        <w:t xml:space="preserve">Landing page bilingüe con precios y onboarding con trial 14 días</w:t>
      </w:r>
    </w:p>
    <w:p>
      <w:pPr>
        <w:pStyle w:val="ListParagraph"/>
        <w:numPr>
          <w:ilvl w:val="0"/>
          <w:numId w:val="2"/>
        </w:numPr>
        <w:spacing w:before="60" w:after="60" w:line="260"/>
      </w:pPr>
      <w:r>
        <w:rPr>
          <w:rFonts w:ascii="Arial" w:cs="Arial" w:eastAsia="Arial" w:hAnsi="Arial"/>
          <w:color w:val="1A1A2E"/>
          <w:sz w:val="22"/>
          <w:szCs w:val="22"/>
        </w:rPr>
        <w:t xml:space="preserve">Vista responsive para móvil en todas las páginas del panel</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6. Modelo de Precios y Costo por Cliente</w:t>
      </w:r>
    </w:p>
    <w:p>
      <w:pPr>
        <w:pStyle w:val="Heading2"/>
        <w:spacing w:before="280" w:after="120"/>
      </w:pPr>
      <w:r>
        <w:rPr>
          <w:rFonts w:ascii="Arial" w:cs="Arial" w:eastAsia="Arial" w:hAnsi="Arial"/>
          <w:b/>
          <w:bCs/>
          <w:color w:val="2E75B6"/>
          <w:sz w:val="26"/>
          <w:szCs w:val="26"/>
        </w:rPr>
        <w:t xml:space="preserve">6.1 Planes de Suscripción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Plan</w:t>
            </w:r>
          </w:p>
        </w:tc>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 COP/mes</w:t>
            </w:r>
          </w:p>
        </w:tc>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Precio USD/mes</w:t>
            </w:r>
          </w:p>
        </w:tc>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Conversaciones</w:t>
            </w:r>
          </w:p>
        </w:tc>
        <w:tc>
          <w:tcPr>
            <w:tcW w:type="dxa" w:w="21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Incluye</w:t>
            </w:r>
          </w:p>
        </w:tc>
      </w:tr>
      <w:tr>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Starter</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$89.900</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$22</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500/mes</w:t>
            </w:r>
          </w:p>
        </w:tc>
        <w:tc>
          <w:tcPr>
            <w:tcW w:type="dxa" w:w="2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 bot, 1 catálogo</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Pro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$219.850</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$54</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2.000/mes</w:t>
            </w:r>
          </w:p>
        </w:tc>
        <w:tc>
          <w:tcPr>
            <w:tcW w:type="dxa" w:w="2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3 bots, inventario IA</w:t>
            </w:r>
          </w:p>
        </w:tc>
      </w:tr>
      <w:tr>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Business</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$389.000</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~USD $95</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Ilimitadas</w:t>
            </w:r>
          </w:p>
        </w:tc>
        <w:tc>
          <w:tcPr>
            <w:tcW w:type="dxa" w:w="2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Bots ilimitados, API, soporte</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Trial</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200/mes</w:t>
            </w:r>
          </w:p>
        </w:tc>
        <w:tc>
          <w:tcPr>
            <w:tcW w:type="dxa" w:w="2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14 días, acceso completo</w:t>
            </w:r>
          </w:p>
        </w:tc>
      </w:tr>
    </w:tbl>
    <w:p>
      <w:pPr>
        <w:spacing w:before="80" w:after="0"/>
      </w:pPr>
      <w:r>
        <w:t xml:space="preserve"/>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Rango de mercado verificado: WATI desde USD $49, Respond.io desde USD $79, ManyChat desde USD $15.</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6.2 Costo Operativo por Cliente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800"/>
        <w:gridCol w:w="2000"/>
        <w:gridCol w:w="2000"/>
      </w:tblGrid>
      <w:tr>
        <w:tc>
          <w:tcPr>
            <w:tcW w:type="dxa" w:w="35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Concepto</w:t>
            </w:r>
          </w:p>
        </w:tc>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 Starter</w:t>
            </w:r>
          </w:p>
        </w:tc>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 Pro</w:t>
            </w:r>
          </w:p>
        </w:tc>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Plan Business</w:t>
            </w:r>
          </w:p>
        </w:tc>
      </w:tr>
      <w:tr>
        <w:tc>
          <w:tcPr>
            <w:tcW w:type="dxa" w:w="3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Google Gemini API (IA)</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~$1.200</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~$3.500</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~$8.000</w:t>
            </w:r>
          </w:p>
        </w:tc>
      </w:tr>
      <w:tr>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Twilio WhatsApp (mensajes)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~$800</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~$2.200</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~$4.500</w:t>
            </w:r>
          </w:p>
        </w:tc>
      </w:tr>
      <w:tr>
        <w:tc>
          <w:tcPr>
            <w:tcW w:type="dxa" w:w="3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Infraestructura prorrateada</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~$600</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~$600</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~$600</w:t>
            </w:r>
          </w:p>
        </w:tc>
      </w:tr>
      <w:tr>
        <w:tc>
          <w:tcPr>
            <w:tcW w:type="dxa" w:w="3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Soporte y mantenimiento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~$400</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~$400</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~$400</w:t>
            </w:r>
          </w:p>
        </w:tc>
      </w:tr>
      <w:tr>
        <w:tc>
          <w:tcPr>
            <w:tcW w:type="dxa" w:w="356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COSTO TOTAL / CLIENTE</w:t>
            </w:r>
          </w:p>
        </w:tc>
        <w:tc>
          <w:tcPr>
            <w:tcW w:type="dxa" w:w="180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~$3.000</w:t>
            </w:r>
          </w:p>
        </w:tc>
        <w:tc>
          <w:tcPr>
            <w:tcW w:type="dxa" w:w="200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~$6.700</w:t>
            </w:r>
          </w:p>
        </w:tc>
        <w:tc>
          <w:tcPr>
            <w:tcW w:type="dxa" w:w="200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~$13.500</w:t>
            </w:r>
          </w:p>
        </w:tc>
      </w:tr>
      <w:tr>
        <w:tc>
          <w:tcPr>
            <w:tcW w:type="dxa" w:w="356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left"/>
            </w:pPr>
            <w:r>
              <w:rPr>
                <w:rFonts w:ascii="Arial" w:cs="Arial" w:eastAsia="Arial" w:hAnsi="Arial"/>
                <w:b/>
                <w:bCs/>
                <w:color w:val="1B5E20"/>
                <w:sz w:val="20"/>
                <w:szCs w:val="20"/>
              </w:rPr>
              <w:t xml:space="preserve">MARGEN BRUTO</w:t>
            </w:r>
          </w:p>
        </w:tc>
        <w:tc>
          <w:tcPr>
            <w:tcW w:type="dxa" w:w="180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~$86.900 (97%)</w:t>
            </w:r>
          </w:p>
        </w:tc>
        <w:tc>
          <w:tcPr>
            <w:tcW w:type="dxa" w:w="200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~$213.150 (97%)</w:t>
            </w:r>
          </w:p>
        </w:tc>
        <w:tc>
          <w:tcPr>
            <w:tcW w:type="dxa" w:w="200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~$375.500 (97%)</w:t>
            </w:r>
          </w:p>
        </w:tc>
      </w:tr>
    </w:tbl>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Costos en COP. Promedio ponderado con mix 40% Starter / 45% Pro / 15% Business. Infraestructura prorrateada sobre base de clientes activos.</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7. Unit Economics</w:t>
      </w:r>
    </w:p>
    <w:p>
      <w:pPr>
        <w:spacing w:before="80" w:after="80" w:line="276"/>
        <w:jc w:val="both"/>
      </w:pPr>
      <w:r>
        <w:rPr>
          <w:rFonts w:ascii="Arial" w:cs="Arial" w:eastAsia="Arial" w:hAnsi="Arial"/>
          <w:color w:val="1A1A2E"/>
          <w:sz w:val="22"/>
          <w:szCs w:val="22"/>
        </w:rPr>
        <w:t xml:space="preserve">Los unit economics de Automatiza360 reflejan la solidez estructural del modelo SaaS con márgenes brutos superiores al 97% por la naturaleza casi-cero del costo variable incremental por cliente.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Métrica</w:t>
            </w:r>
          </w:p>
        </w:tc>
        <w:tc>
          <w:tcPr>
            <w:tcW w:type="dxa" w:w="3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Valor (Plan Pro — ARPU base)</w:t>
            </w:r>
          </w:p>
        </w:tc>
        <w:tc>
          <w:tcPr>
            <w:tcW w:type="dxa" w:w="31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Observación</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ARPU mensual</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COP $219.850 (~USD $54)</w:t>
            </w:r>
          </w:p>
        </w:tc>
        <w:tc>
          <w:tcPr>
            <w:tcW w:type="dxa" w:w="3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Precio plan Pro (mix más representativo)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Churn mensual (año 1)</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3% / mes</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Conservador para etapa early-stage</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Churn mensual (año 5+)</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1,5% / mes</w:t>
            </w:r>
          </w:p>
        </w:tc>
        <w:tc>
          <w:tcPr>
            <w:tcW w:type="dxa" w:w="3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Benchmark SaaS B2B consolidado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LTV (año 1)</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COP $7.328.000 (~USD $1.788)</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ARPU ÷ Churn = 219.850 ÷ 0,03</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LTV (año 5+)</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COP $14.657.000 (~USD $3.575)</w:t>
            </w:r>
          </w:p>
        </w:tc>
        <w:tc>
          <w:tcPr>
            <w:tcW w:type="dxa" w:w="3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219.850 ÷ 0,015</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CAC estimado (año 1)</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COP $180.000 (~USD $44)</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Pauta Meta + tiempo fundador ÷ clientes/mes</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CAC estimado (año 2+)</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COP $120.000 (~USD $29)</w:t>
            </w:r>
          </w:p>
        </w:tc>
        <w:tc>
          <w:tcPr>
            <w:tcW w:type="dxa" w:w="3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 referidos y orgánico maduro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Payback period</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~1 mes</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CAC ÷ ARPU mensual</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LTV:CAC (año 1)</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41:1</w:t>
            </w:r>
          </w:p>
        </w:tc>
        <w:tc>
          <w:tcPr>
            <w:tcW w:type="dxa" w:w="3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Saludable: industria acepta &gt;3:1</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Margen bruto por cliente</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3F8B"/>
                <w:sz w:val="20"/>
                <w:szCs w:val="20"/>
              </w:rPr>
              <w:t xml:space="preserve">&gt;97%</w:t>
            </w:r>
          </w:p>
        </w:tc>
        <w:tc>
          <w:tcPr>
            <w:tcW w:type="dxa" w:w="3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Costo variable incremental mínimo</w:t>
            </w:r>
          </w:p>
        </w:tc>
      </w:tr>
    </w:tbl>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LTV calculado como ARPU ÷ Churn mensual. CAC estimado con presupuesto de pauta Meta de COP $3.000.000/mes generando ~25 leads calificados con tasa de cierre del 60%. Valores ajustarán con datos reales de los primeros 6 meses comerciales.</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8. Estrategia de Adquisición de Clientes y Publicidad</w:t>
      </w:r>
    </w:p>
    <w:p>
      <w:pPr>
        <w:spacing w:before="80" w:after="80" w:line="276"/>
        <w:jc w:val="both"/>
      </w:pPr>
      <w:r>
        <w:rPr>
          <w:rFonts w:ascii="Arial" w:cs="Arial" w:eastAsia="Arial" w:hAnsi="Arial"/>
          <w:color w:val="1A1A2E"/>
          <w:sz w:val="22"/>
          <w:szCs w:val="22"/>
        </w:rPr>
        <w:t xml:space="preserve">La estrategia de marketing está diseñada para maximizar clientes por peso invertido. Se basa en tres pilares: contenido orgánico de alto impacto (costo $0), pauta pagada quirúrgica en Meta, y un programa de referidos que convierte clientes en vendedores voluntarios. El principio central: demostrar resultados reales de negocios reales — no vender software.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8.1 Los 4 Canales de Adquisición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000"/>
        <w:gridCol w:w="2560"/>
      </w:tblGrid>
      <w:tr>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Canal</w:t>
            </w:r>
          </w:p>
        </w:tc>
        <w:tc>
          <w:tcPr>
            <w:tcW w:type="dxa" w:w="3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Táctica</w:t>
            </w:r>
          </w:p>
        </w:tc>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estimado</w:t>
            </w:r>
          </w:p>
        </w:tc>
        <w:tc>
          <w:tcPr>
            <w:tcW w:type="dxa" w:w="25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KPI objetivo</w:t>
            </w:r>
          </w:p>
        </w:tc>
      </w:tr>
      <w:tr>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Video orgánico</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TikTok + IG Reels + YouTube Shorts: demos del bot en vivo</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w:t>
            </w:r>
          </w:p>
        </w:tc>
        <w:tc>
          <w:tcPr>
            <w:tcW w:type="dxa" w:w="2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5.000+ vistas/video, 2-3 leads/semana</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Meta Ads</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Campañas lead form segmentadas por tipo de negocio</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$3M–$5M COP/mes</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CPL &lt; COP $50.000</w:t>
            </w:r>
          </w:p>
        </w:tc>
      </w:tr>
      <w:tr>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Referidos</w:t>
            </w:r>
          </w:p>
        </w:tc>
        <w:tc>
          <w:tcPr>
            <w:tcW w:type="dxa" w:w="3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Descuento 1 mes gratis por cada cliente referido activo</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 directo</w:t>
            </w:r>
          </w:p>
        </w:tc>
        <w:tc>
          <w:tcPr>
            <w:tcW w:type="dxa" w:w="2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15% de nuevos clientes en mes 6+</w:t>
            </w:r>
          </w:p>
        </w:tc>
      </w:tr>
      <w:tr>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Demos directas</w:t>
            </w:r>
          </w:p>
        </w:tc>
        <w:tc>
          <w:tcPr>
            <w:tcW w:type="dxa" w:w="3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Visitas a agremiaciones, cámaras de comercio, redes</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2 demos/semana, tasa cierre &gt;50%</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8.2 Estrategia de Contenido Viral</w:t>
      </w:r>
    </w:p>
    <w:p>
      <w:pPr>
        <w:spacing w:before="80" w:after="80" w:line="276"/>
        <w:jc w:val="left"/>
      </w:pPr>
      <w:r>
        <w:rPr>
          <w:rFonts w:ascii="Arial" w:cs="Arial" w:eastAsia="Arial" w:hAnsi="Arial"/>
          <w:color w:val="1A1A2E"/>
          <w:sz w:val="22"/>
          <w:szCs w:val="22"/>
        </w:rPr>
        <w:t xml:space="preserve">Los videos son el activo de marketing más poderoso: una grabación de 60 segundos mostrando el bot respondiendo en WhatsApp tiene más poder de conversión que cualquier anuncio gráfico. Formatos probados:</w:t>
      </w:r>
    </w:p>
    <w:p>
      <w:pPr>
        <w:pStyle w:val="ListParagraph"/>
        <w:numPr>
          <w:ilvl w:val="0"/>
          <w:numId w:val="2"/>
        </w:numPr>
        <w:spacing w:before="60" w:after="60" w:line="260"/>
      </w:pPr>
      <w:r>
        <w:rPr>
          <w:rFonts w:ascii="Arial" w:cs="Arial" w:eastAsia="Arial" w:hAnsi="Arial"/>
          <w:color w:val="1A1A2E"/>
          <w:sz w:val="22"/>
          <w:szCs w:val="22"/>
        </w:rPr>
        <w:t xml:space="preserve">"Le instalé un empleado de IA a mi tía en su tienda de tecnología — esto fue lo que pasó" → demo real Tienda Gamer.</w:t>
      </w:r>
    </w:p>
    <w:p>
      <w:pPr>
        <w:pStyle w:val="ListParagraph"/>
        <w:numPr>
          <w:ilvl w:val="0"/>
          <w:numId w:val="2"/>
        </w:numPr>
        <w:spacing w:before="60" w:after="60" w:line="260"/>
      </w:pPr>
      <w:r>
        <w:rPr>
          <w:rFonts w:ascii="Arial" w:cs="Arial" w:eastAsia="Arial" w:hAnsi="Arial"/>
          <w:color w:val="1A1A2E"/>
          <w:sz w:val="22"/>
          <w:szCs w:val="22"/>
        </w:rPr>
        <w:t xml:space="preserve">"Este restaurante en Cali recibe pedidos por WhatsApp sin contratar a nadie" → demo Restaurante Mi Vecina.</w:t>
      </w:r>
    </w:p>
    <w:p>
      <w:pPr>
        <w:pStyle w:val="ListParagraph"/>
        <w:numPr>
          <w:ilvl w:val="0"/>
          <w:numId w:val="2"/>
        </w:numPr>
        <w:spacing w:before="60" w:after="60" w:line="260"/>
      </w:pPr>
      <w:r>
        <w:rPr>
          <w:rFonts w:ascii="Arial" w:cs="Arial" w:eastAsia="Arial" w:hAnsi="Arial"/>
          <w:color w:val="1A1A2E"/>
          <w:sz w:val="22"/>
          <w:szCs w:val="22"/>
        </w:rPr>
        <w:t xml:space="preserve">"Cuántos clientes pierdes cada fin de semana por no tener esto" → gancho problema + solución 30 segundos.</w:t>
      </w:r>
    </w:p>
    <w:p>
      <w:pPr>
        <w:pStyle w:val="ListParagraph"/>
        <w:numPr>
          <w:ilvl w:val="0"/>
          <w:numId w:val="2"/>
        </w:numPr>
        <w:spacing w:before="60" w:after="60" w:line="260"/>
      </w:pPr>
      <w:r>
        <w:rPr>
          <w:rFonts w:ascii="Arial" w:cs="Arial" w:eastAsia="Arial" w:hAnsi="Arial"/>
          <w:color w:val="1A1A2E"/>
          <w:sz w:val="22"/>
          <w:szCs w:val="22"/>
        </w:rPr>
        <w:t xml:space="preserve">"Respondí 200 mensajes de clientes mientras dormía — así funciona" → resultado cuantificado del fundador.</w:t>
      </w:r>
    </w:p>
    <w:p>
      <w:pPr>
        <w:spacing w:before="80" w:after="0"/>
      </w:pPr>
      <w:r>
        <w:t xml:space="preserve"/>
      </w:r>
    </w:p>
    <w:p>
      <w:pPr>
        <w:spacing w:before="80" w:after="80" w:line="276"/>
        <w:jc w:val="left"/>
      </w:pPr>
      <w:r>
        <w:rPr>
          <w:rFonts w:ascii="Arial" w:cs="Arial" w:eastAsia="Arial" w:hAnsi="Arial"/>
          <w:color w:val="1A1A2E"/>
          <w:sz w:val="22"/>
          <w:szCs w:val="22"/>
        </w:rPr>
        <w:t xml:space="preserve">Publicar 2 videos/semana durante los primeros 3 meses. Mismo video sin edición adicional en TikTok, Instagram Reels y YouTube Shorts.</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9. Proyecciones Financieras Detalladas — 10 Años</w:t>
      </w:r>
    </w:p>
    <w:p>
      <w:pPr>
        <w:spacing w:before="80" w:after="80" w:line="276"/>
        <w:jc w:val="both"/>
      </w:pPr>
      <w:r>
        <w:rPr>
          <w:rFonts w:ascii="Arial" w:cs="Arial" w:eastAsia="Arial" w:hAnsi="Arial"/>
          <w:color w:val="1A1A2E"/>
          <w:sz w:val="22"/>
          <w:szCs w:val="22"/>
        </w:rPr>
        <w:t xml:space="preserve">Las proyecciones reflejan un escenario base conservador: ARPU inicial COP $219.850/mes (~USD $54), churn del 3% mensual (bajando a 1,5% en el año 7+), tasa de crecimiento de clientes nuevos por mes según capacidad de ejecución del equipo fundador, y expansión de nómina únicamente cuando la ganancia neta lo justifica. TRM asumida: COP $4.100/USD.</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9.1 Resumen Anual 10 Años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200"/>
        <w:gridCol w:w="1500"/>
        <w:gridCol w:w="1300"/>
        <w:gridCol w:w="1200"/>
        <w:gridCol w:w="1200"/>
        <w:gridCol w:w="1440"/>
        <w:gridCol w:w="800"/>
      </w:tblGrid>
      <w:tr>
        <w:tc>
          <w:tcPr>
            <w:tcW w:type="dxa" w:w="72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Año</w:t>
            </w:r>
          </w:p>
        </w:tc>
        <w:tc>
          <w:tcPr>
            <w:tcW w:type="dxa" w:w="1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Clientes</w:t>
            </w:r>
          </w:p>
        </w:tc>
        <w:tc>
          <w:tcPr>
            <w:tcW w:type="dxa" w:w="15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MRR (COP k)</w:t>
            </w:r>
          </w:p>
        </w:tc>
        <w:tc>
          <w:tcPr>
            <w:tcW w:type="dxa" w:w="13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ARR (COP M)</w:t>
            </w:r>
          </w:p>
        </w:tc>
        <w:tc>
          <w:tcPr>
            <w:tcW w:type="dxa" w:w="1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Tecnología</w:t>
            </w:r>
          </w:p>
        </w:tc>
        <w:tc>
          <w:tcPr>
            <w:tcW w:type="dxa" w:w="1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Nómina</w:t>
            </w:r>
          </w:p>
        </w:tc>
        <w:tc>
          <w:tcPr>
            <w:tcW w:type="dxa" w:w="144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Gan. Neta (COP M)</w:t>
            </w:r>
          </w:p>
        </w:tc>
        <w:tc>
          <w:tcPr>
            <w:tcW w:type="dxa" w:w="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Margen</w:t>
            </w:r>
          </w:p>
        </w:tc>
      </w:tr>
      <w:tr>
        <w:tc>
          <w:tcPr>
            <w:tcW w:type="dxa" w:w="72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28</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$6.156</w:t>
            </w:r>
          </w:p>
        </w:tc>
        <w:tc>
          <w:tcPr>
            <w:tcW w:type="dxa" w:w="1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$73,9</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$7,2M</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w:t>
            </w:r>
          </w:p>
        </w:tc>
        <w:tc>
          <w:tcPr>
            <w:tcW w:type="dxa" w:w="144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$58,8</w:t>
            </w:r>
          </w:p>
        </w:tc>
        <w:tc>
          <w:tcPr>
            <w:tcW w:type="dxa" w:w="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80%</w:t>
            </w:r>
          </w:p>
        </w:tc>
      </w:tr>
      <w:tr>
        <w:tc>
          <w:tcPr>
            <w:tcW w:type="dxa" w:w="7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2</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76</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$16.707</w:t>
            </w:r>
          </w:p>
        </w:tc>
        <w:tc>
          <w:tcPr>
            <w:tcW w:type="dxa" w:w="1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$200,5</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$13,4M</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$48M</w:t>
            </w:r>
          </w:p>
        </w:tc>
        <w:tc>
          <w:tcPr>
            <w:tcW w:type="dxa" w:w="1440"/>
            <w:tcBorders>
              <w:top w:val="single" w:color="D9D9D9" w:sz="1"/>
              <w:left w:val="single" w:color="D9D9D9" w:sz="1"/>
              <w:bottom w:val="single" w:color="D9D9D9" w:sz="1"/>
              <w:right w:val="single" w:color="D9D9D9" w:sz="1"/>
            </w:tcBorders>
            <w:shd w:fill="F1FAF1"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$124,5</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62%</w:t>
            </w:r>
          </w:p>
        </w:tc>
      </w:tr>
      <w:tr>
        <w:tc>
          <w:tcPr>
            <w:tcW w:type="dxa" w:w="72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3</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160</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$35.176</w:t>
            </w:r>
          </w:p>
        </w:tc>
        <w:tc>
          <w:tcPr>
            <w:tcW w:type="dxa" w:w="1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$422,1</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$22,1M</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$96M</w:t>
            </w:r>
          </w:p>
        </w:tc>
        <w:tc>
          <w:tcPr>
            <w:tcW w:type="dxa" w:w="144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$284,4</w:t>
            </w:r>
          </w:p>
        </w:tc>
        <w:tc>
          <w:tcPr>
            <w:tcW w:type="dxa" w:w="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67%</w:t>
            </w:r>
          </w:p>
        </w:tc>
      </w:tr>
      <w:tr>
        <w:tc>
          <w:tcPr>
            <w:tcW w:type="dxa" w:w="7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4</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290</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$63.757</w:t>
            </w:r>
          </w:p>
        </w:tc>
        <w:tc>
          <w:tcPr>
            <w:tcW w:type="dxa" w:w="1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$765,1</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$34,4M</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$144M</w:t>
            </w:r>
          </w:p>
        </w:tc>
        <w:tc>
          <w:tcPr>
            <w:tcW w:type="dxa" w:w="1440"/>
            <w:tcBorders>
              <w:top w:val="single" w:color="D9D9D9" w:sz="1"/>
              <w:left w:val="single" w:color="D9D9D9" w:sz="1"/>
              <w:bottom w:val="single" w:color="D9D9D9" w:sz="1"/>
              <w:right w:val="single" w:color="D9D9D9" w:sz="1"/>
            </w:tcBorders>
            <w:shd w:fill="F1FAF1"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$566,1</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74%</w:t>
            </w:r>
          </w:p>
        </w:tc>
      </w:tr>
      <w:tr>
        <w:tc>
          <w:tcPr>
            <w:tcW w:type="dxa" w:w="72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5</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480</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$105.552</w:t>
            </w:r>
          </w:p>
        </w:tc>
        <w:tc>
          <w:tcPr>
            <w:tcW w:type="dxa" w:w="1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$1.267</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$52,1M</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$192M</w:t>
            </w:r>
          </w:p>
        </w:tc>
        <w:tc>
          <w:tcPr>
            <w:tcW w:type="dxa" w:w="144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$992,2</w:t>
            </w:r>
          </w:p>
        </w:tc>
        <w:tc>
          <w:tcPr>
            <w:tcW w:type="dxa" w:w="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78%</w:t>
            </w:r>
          </w:p>
        </w:tc>
      </w:tr>
      <w:tr>
        <w:tc>
          <w:tcPr>
            <w:tcW w:type="dxa" w:w="7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6</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740</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$162.699</w:t>
            </w:r>
          </w:p>
        </w:tc>
        <w:tc>
          <w:tcPr>
            <w:tcW w:type="dxa" w:w="1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$1.952</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$74,3M</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$240M</w:t>
            </w:r>
          </w:p>
        </w:tc>
        <w:tc>
          <w:tcPr>
            <w:tcW w:type="dxa" w:w="1440"/>
            <w:tcBorders>
              <w:top w:val="single" w:color="D9D9D9" w:sz="1"/>
              <w:left w:val="single" w:color="D9D9D9" w:sz="1"/>
              <w:bottom w:val="single" w:color="D9D9D9" w:sz="1"/>
              <w:right w:val="single" w:color="D9D9D9" w:sz="1"/>
            </w:tcBorders>
            <w:shd w:fill="F1FAF1"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$1.600</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82%</w:t>
            </w:r>
          </w:p>
        </w:tc>
      </w:tr>
      <w:tr>
        <w:tc>
          <w:tcPr>
            <w:tcW w:type="dxa" w:w="72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7</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1.100</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$241.835</w:t>
            </w:r>
          </w:p>
        </w:tc>
        <w:tc>
          <w:tcPr>
            <w:tcW w:type="dxa" w:w="1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$2.902</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$102M</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$336M</w:t>
            </w:r>
          </w:p>
        </w:tc>
        <w:tc>
          <w:tcPr>
            <w:tcW w:type="dxa" w:w="144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$2.430</w:t>
            </w:r>
          </w:p>
        </w:tc>
        <w:tc>
          <w:tcPr>
            <w:tcW w:type="dxa" w:w="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84%</w:t>
            </w:r>
          </w:p>
        </w:tc>
      </w:tr>
      <w:tr>
        <w:tc>
          <w:tcPr>
            <w:tcW w:type="dxa" w:w="7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8</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1.580</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$347.323</w:t>
            </w:r>
          </w:p>
        </w:tc>
        <w:tc>
          <w:tcPr>
            <w:tcW w:type="dxa" w:w="1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$4.168</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$138M</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$432M</w:t>
            </w:r>
          </w:p>
        </w:tc>
        <w:tc>
          <w:tcPr>
            <w:tcW w:type="dxa" w:w="1440"/>
            <w:tcBorders>
              <w:top w:val="single" w:color="D9D9D9" w:sz="1"/>
              <w:left w:val="single" w:color="D9D9D9" w:sz="1"/>
              <w:bottom w:val="single" w:color="D9D9D9" w:sz="1"/>
              <w:right w:val="single" w:color="D9D9D9" w:sz="1"/>
            </w:tcBorders>
            <w:shd w:fill="F1FAF1"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$3.559</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85%</w:t>
            </w:r>
          </w:p>
        </w:tc>
      </w:tr>
      <w:tr>
        <w:tc>
          <w:tcPr>
            <w:tcW w:type="dxa" w:w="72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9</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2.180</w:t>
            </w:r>
          </w:p>
        </w:tc>
        <w:tc>
          <w:tcPr>
            <w:tcW w:type="dxa" w:w="15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$479.323</w:t>
            </w:r>
          </w:p>
        </w:tc>
        <w:tc>
          <w:tcPr>
            <w:tcW w:type="dxa" w:w="1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$5.752</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$180M</w:t>
            </w:r>
          </w:p>
        </w:tc>
        <w:tc>
          <w:tcPr>
            <w:tcW w:type="dxa" w:w="1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$528M</w:t>
            </w:r>
          </w:p>
        </w:tc>
        <w:tc>
          <w:tcPr>
            <w:tcW w:type="dxa" w:w="144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$4.987</w:t>
            </w:r>
          </w:p>
        </w:tc>
        <w:tc>
          <w:tcPr>
            <w:tcW w:type="dxa" w:w="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87%</w:t>
            </w:r>
          </w:p>
        </w:tc>
      </w:tr>
      <w:tr>
        <w:tc>
          <w:tcPr>
            <w:tcW w:type="dxa" w:w="72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10</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2.950</w:t>
            </w:r>
          </w:p>
        </w:tc>
        <w:tc>
          <w:tcPr>
            <w:tcW w:type="dxa" w:w="15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$648.535</w:t>
            </w:r>
          </w:p>
        </w:tc>
        <w:tc>
          <w:tcPr>
            <w:tcW w:type="dxa" w:w="1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$7.782</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$228M</w:t>
            </w:r>
          </w:p>
        </w:tc>
        <w:tc>
          <w:tcPr>
            <w:tcW w:type="dxa" w:w="1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$624M</w:t>
            </w:r>
          </w:p>
        </w:tc>
        <w:tc>
          <w:tcPr>
            <w:tcW w:type="dxa" w:w="1440"/>
            <w:tcBorders>
              <w:top w:val="single" w:color="D9D9D9" w:sz="1"/>
              <w:left w:val="single" w:color="D9D9D9" w:sz="1"/>
              <w:bottom w:val="single" w:color="D9D9D9" w:sz="1"/>
              <w:right w:val="single" w:color="D9D9D9" w:sz="1"/>
            </w:tcBorders>
            <w:shd w:fill="F1FAF1" w:val="clear"/>
            <w:tcMar>
              <w:top w:type="dxa" w:w="100"/>
              <w:left w:type="dxa" w:w="140"/>
              <w:bottom w:type="dxa" w:w="100"/>
              <w:right w:type="dxa" w:w="140"/>
            </w:tcMar>
            <w:vAlign w:val="center"/>
          </w:tcPr>
          <w:p>
            <w:pPr>
              <w:jc w:val="center"/>
            </w:pPr>
            <w:r>
              <w:rPr>
                <w:rFonts w:ascii="Arial" w:cs="Arial" w:eastAsia="Arial" w:hAnsi="Arial"/>
                <w:b/>
                <w:bCs/>
                <w:color w:val="1B5E20"/>
                <w:sz w:val="20"/>
                <w:szCs w:val="20"/>
              </w:rPr>
              <w:t xml:space="preserve">$6.824</w:t>
            </w:r>
          </w:p>
        </w:tc>
        <w:tc>
          <w:tcPr>
            <w:tcW w:type="dxa" w:w="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88%</w:t>
            </w:r>
          </w:p>
        </w:tc>
      </w:tr>
    </w:tbl>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MRR = Monthly Recurring Revenue en miles COP. ARR = MRR x 12. Nómina contempla incorporación gradual del equipo. Margen = Ganancia Neta / ARR.</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10. Infraestructura Tecnológica y Hoja de Ruta Cloud</w:t>
      </w:r>
    </w:p>
    <w:p>
      <w:pPr>
        <w:spacing w:before="80" w:after="80" w:line="276"/>
        <w:jc w:val="both"/>
      </w:pPr>
      <w:r>
        <w:rPr>
          <w:rFonts w:ascii="Arial" w:cs="Arial" w:eastAsia="Arial" w:hAnsi="Arial"/>
          <w:color w:val="1A1A2E"/>
          <w:sz w:val="22"/>
          <w:szCs w:val="22"/>
        </w:rPr>
        <w:t xml:space="preserve">La arquitectura tecnológica está diseñada con un principio fundamental: usar la infraestructura más económica posible en cada etapa, migrando a plataformas más robustas únicamente cuando el volumen de clientes lo justifique económica y técnicamente.</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10.1 Stack Actual — Fase 1 (0–300 Clientes)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200"/>
        <w:gridCol w:w="2560"/>
      </w:tblGrid>
      <w:tr>
        <w:tc>
          <w:tcPr>
            <w:tcW w:type="dxa" w:w="2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Servicio</w:t>
            </w:r>
          </w:p>
        </w:tc>
        <w:tc>
          <w:tcPr>
            <w:tcW w:type="dxa" w:w="2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Proveedor actual</w:t>
            </w:r>
          </w:p>
        </w:tc>
        <w:tc>
          <w:tcPr>
            <w:tcW w:type="dxa" w:w="2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Costo mensual</w:t>
            </w:r>
          </w:p>
        </w:tc>
        <w:tc>
          <w:tcPr>
            <w:tcW w:type="dxa" w:w="25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Justificación</w:t>
            </w:r>
          </w:p>
        </w:tc>
      </w:tr>
      <w:tr>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Backend + AI</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Railway (pay-as-you-go)</w:t>
            </w:r>
          </w:p>
        </w:tc>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~$15–30 USD</w:t>
            </w:r>
          </w:p>
        </w:tc>
        <w:tc>
          <w:tcPr>
            <w:tcW w:type="dxa" w:w="2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Zero overhead gestión</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Base de datos</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Supabase PostgreSQL</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~$25–35 USD</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Pro plan + uso real</w:t>
            </w:r>
          </w:p>
        </w:tc>
      </w:tr>
      <w:tr>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Frontend</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Vercel (Hobby/Pro)</w:t>
            </w:r>
          </w:p>
        </w:tc>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~$0–20 USD</w:t>
            </w:r>
          </w:p>
        </w:tc>
        <w:tc>
          <w:tcPr>
            <w:tcW w:type="dxa" w:w="2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CDN global automático</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WhatsApp API</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Twilio Sandbox → Producción</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Variable por mensaje</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API más estable para LatAm</w:t>
            </w:r>
          </w:p>
        </w:tc>
      </w:tr>
      <w:tr>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IA Generativa</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Google Gemini 2.5 Flash</w:t>
            </w:r>
          </w:p>
        </w:tc>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$0.075/M tokens input</w:t>
            </w:r>
          </w:p>
        </w:tc>
        <w:tc>
          <w:tcPr>
            <w:tcW w:type="dxa" w:w="2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80% más barato que GPT-4</w:t>
            </w:r>
          </w:p>
        </w:tc>
      </w:tr>
      <w:tr>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Pagos</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Wompi (Colombia)</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2,5% + $900 COP/transacción</w:t>
            </w:r>
          </w:p>
        </w:tc>
        <w:tc>
          <w:tcPr>
            <w:tcW w:type="dxa" w:w="2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Único player nativo Colombia</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10.2 Hoja de Ruta de Migración Cloud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4160"/>
      </w:tblGrid>
      <w:tr>
        <w:tc>
          <w:tcPr>
            <w:tcW w:type="dxa" w:w="1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Momento</w:t>
            </w:r>
          </w:p>
        </w:tc>
        <w:tc>
          <w:tcPr>
            <w:tcW w:type="dxa" w:w="1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Clientes</w:t>
            </w:r>
          </w:p>
        </w:tc>
        <w:tc>
          <w:tcPr>
            <w:tcW w:type="dxa" w:w="2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Migración</w:t>
            </w:r>
          </w:p>
        </w:tc>
        <w:tc>
          <w:tcPr>
            <w:tcW w:type="dxa" w:w="41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Razón</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1–18</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0–100</w:t>
            </w:r>
          </w:p>
        </w:tc>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Sin cambios — Railway + Supabase</w:t>
            </w:r>
          </w:p>
        </w:tc>
        <w:tc>
          <w:tcPr>
            <w:tcW w:type="dxa" w:w="4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Costo óptimo, foco en producto y ventas</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19–30</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100–300</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Supabase → Supabase Pro dedicado</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Conexiones concurrentes y backups</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30–36</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300–600</w:t>
            </w:r>
          </w:p>
        </w:tc>
        <w:tc>
          <w:tcPr>
            <w:tcW w:type="dxa" w:w="2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Railway → AWS ECS + RDS</w:t>
            </w:r>
          </w:p>
        </w:tc>
        <w:tc>
          <w:tcPr>
            <w:tcW w:type="dxa" w:w="4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SLAs enterprise, multi-región LatAm</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Año 4+</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600+</w:t>
            </w:r>
          </w:p>
        </w:tc>
        <w:tc>
          <w:tcPr>
            <w:tcW w:type="dxa" w:w="2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AWS completo + CloudFront CDN</w:t>
            </w:r>
          </w:p>
        </w:tc>
        <w:tc>
          <w:tcPr>
            <w:tcW w:type="dxa" w:w="4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Escala, certificaciones, clientes corporate</w:t>
            </w:r>
          </w:p>
        </w:tc>
      </w:tr>
    </w:tbl>
    <w:p>
      <w:pPr>
        <w:spacing w:before="80" w:after="0"/>
      </w:pPr>
      <w:r>
        <w:t xml:space="preserve"/>
      </w:r>
    </w:p>
    <w:p>
      <w:pPr>
        <w:spacing w:before="40" w:after="80"/>
        <w:ind w:left="400"/>
      </w:pPr>
      <w:r>
        <w:rPr>
          <w:rFonts w:ascii="Arial" w:cs="Arial" w:eastAsia="Arial" w:hAnsi="Arial"/>
          <w:b/>
          <w:bCs/>
          <w:color w:val="2E75B6"/>
          <w:sz w:val="18"/>
          <w:szCs w:val="18"/>
        </w:rPr>
        <w:t xml:space="preserve">▸ Fuente: </w:t>
      </w:r>
      <w:r>
        <w:rPr>
          <w:rFonts w:ascii="Arial" w:cs="Arial" w:eastAsia="Arial" w:hAnsi="Arial"/>
          <w:i/>
          <w:iCs/>
          <w:color w:val="555555"/>
          <w:sz w:val="18"/>
          <w:szCs w:val="18"/>
        </w:rPr>
        <w:t xml:space="preserve">Railway.com/pricing (2026). Bytebase.com (Enero 2026): Supabase vs AWS. MetaCTO (Enero 2026): The True Cost of Supabase 2026.</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11. Equipo Fundador</w:t>
      </w:r>
    </w:p>
    <w:p>
      <w:pPr>
        <w:spacing w:before="80" w:after="80" w:line="276"/>
        <w:jc w:val="both"/>
      </w:pPr>
      <w:r>
        <w:rPr>
          <w:rFonts w:ascii="Arial" w:cs="Arial" w:eastAsia="Arial" w:hAnsi="Arial"/>
          <w:color w:val="1A1A2E"/>
          <w:sz w:val="22"/>
          <w:szCs w:val="22"/>
        </w:rPr>
        <w:t xml:space="preserve">Automatiza360 es construido por un equipo de cuatro cofundadores con perfiles complementarios que cubren las cuatro áreas críticas de un startup tecnológico: ingeniería, comercial, desarrollo y finanzas.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tcPr>
          <w:p>
            <w:r>
              <w:rPr>
                <w:rFonts w:ascii="Arial" w:cs="Arial" w:eastAsia="Arial" w:hAnsi="Arial"/>
                <w:b/>
                <w:bCs/>
                <w:color w:val="FFFFFF"/>
                <w:sz w:val="24"/>
                <w:szCs w:val="24"/>
              </w:rPr>
              <w:t xml:space="preserve">David Rojas Kasama — CEO &amp; CTO</w:t>
            </w:r>
          </w:p>
        </w:tc>
      </w:tr>
      <w:tr>
        <w:tc>
          <w:tcPr>
            <w:tcW w:type="dxa" w:w="9360"/>
            <w:tcBorders>
              <w:top w:val="single" w:color="D9D9D9" w:sz="1"/>
              <w:left w:val="single" w:color="D9D9D9" w:sz="1"/>
              <w:bottom w:val="single" w:color="D9D9D9" w:sz="1"/>
              <w:right w:val="single" w:color="D9D9D9" w:sz="1"/>
            </w:tcBorders>
            <w:shd w:fill="EBF3FB" w:val="clear"/>
            <w:tcMar>
              <w:top w:type="dxa" w:w="120"/>
              <w:left w:type="dxa" w:w="180"/>
              <w:bottom w:type="dxa" w:w="120"/>
              <w:right w:type="dxa" w:w="180"/>
            </w:tcMar>
          </w:tcPr>
          <w:p>
            <w:pPr>
              <w:spacing w:before="60" w:after="40"/>
            </w:pPr>
            <w:r>
              <w:rPr>
                <w:rFonts w:ascii="Arial" w:cs="Arial" w:eastAsia="Arial" w:hAnsi="Arial"/>
                <w:b/>
                <w:bCs/>
                <w:color w:val="1B3F8B"/>
                <w:sz w:val="22"/>
                <w:szCs w:val="22"/>
              </w:rPr>
              <w:t xml:space="preserve">Ingeniería de Sistemas · Universidad ICESI, Cali</w:t>
            </w:r>
          </w:p>
          <w:p>
            <w:pPr>
              <w:spacing w:before="40" w:after="40"/>
            </w:pPr>
            <w:r>
              <w:rPr>
                <w:rFonts w:ascii="Arial" w:cs="Arial" w:eastAsia="Arial" w:hAnsi="Arial"/>
                <w:color w:val="1A1A2E"/>
                <w:sz w:val="21"/>
                <w:szCs w:val="21"/>
              </w:rPr>
              <w:t xml:space="preserve">13 años de experiencia como desarrollador de sistemas y arquitecto de software.</w:t>
            </w:r>
          </w:p>
          <w:p>
            <w:pPr>
              <w:spacing w:before="40" w:after="40"/>
            </w:pPr>
            <w:r>
              <w:rPr>
                <w:rFonts w:ascii="Arial" w:cs="Arial" w:eastAsia="Arial" w:hAnsi="Arial"/>
                <w:b/>
                <w:bCs/>
                <w:color w:val="1A1A2E"/>
                <w:sz w:val="21"/>
                <w:szCs w:val="21"/>
              </w:rPr>
              <w:t xml:space="preserve">Certificaciones: </w:t>
            </w:r>
            <w:r>
              <w:rPr>
                <w:rFonts w:ascii="Arial" w:cs="Arial" w:eastAsia="Arial" w:hAnsi="Arial"/>
                <w:color w:val="1A1A2E"/>
                <w:sz w:val="21"/>
                <w:szCs w:val="21"/>
              </w:rPr>
              <w:t xml:space="preserve">SCRUM Master · MIT Mobile Application Development</w:t>
            </w:r>
          </w:p>
          <w:p>
            <w:pPr>
              <w:spacing w:before="40" w:after="40"/>
            </w:pPr>
            <w:r>
              <w:rPr>
                <w:rFonts w:ascii="Arial" w:cs="Arial" w:eastAsia="Arial" w:hAnsi="Arial"/>
                <w:b/>
                <w:bCs/>
                <w:color w:val="1A1A2E"/>
                <w:sz w:val="21"/>
                <w:szCs w:val="21"/>
              </w:rPr>
              <w:t xml:space="preserve">Experiencia profesional: </w:t>
            </w:r>
            <w:r>
              <w:rPr>
                <w:rFonts w:ascii="Arial" w:cs="Arial" w:eastAsia="Arial" w:hAnsi="Arial"/>
                <w:color w:val="1A1A2E"/>
                <w:sz w:val="21"/>
                <w:szCs w:val="21"/>
              </w:rPr>
              <w:t xml:space="preserve">Imbanaco · Smurfit Kappa · Tecnoquímicas · Coca-Cola · Banco Interamericano de Desarrollo (BID) · Intelsat</w:t>
            </w:r>
          </w:p>
          <w:p>
            <w:pPr>
              <w:spacing w:before="40" w:after="40"/>
            </w:pPr>
            <w:r>
              <w:rPr>
                <w:rFonts w:ascii="Arial" w:cs="Arial" w:eastAsia="Arial" w:hAnsi="Arial"/>
                <w:i/>
                <w:iCs/>
                <w:color w:val="555555"/>
                <w:sz w:val="21"/>
                <w:szCs w:val="21"/>
              </w:rPr>
              <w:t xml:space="preserve">Responsabilidades en Automatiza360: arquitectura técnica, desarrollo del producto, estrategia general, relaciones con inversionistas.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Miguel Angel Garzón — VP Comercial</w:t>
            </w:r>
          </w:p>
        </w:tc>
      </w:tr>
      <w:tr>
        <w:tc>
          <w:tcPr>
            <w:tcW w:type="dxa" w:w="9360"/>
            <w:tcBorders>
              <w:top w:val="single" w:color="D9D9D9" w:sz="1"/>
              <w:left w:val="single" w:color="D9D9D9" w:sz="1"/>
              <w:bottom w:val="single" w:color="D9D9D9" w:sz="1"/>
              <w:right w:val="single" w:color="D9D9D9" w:sz="1"/>
            </w:tcBorders>
            <w:shd w:fill="FFFFFF" w:val="clear"/>
            <w:tcMar>
              <w:top w:type="dxa" w:w="120"/>
              <w:left w:type="dxa" w:w="180"/>
              <w:bottom w:type="dxa" w:w="120"/>
              <w:right w:type="dxa" w:w="180"/>
            </w:tcMar>
          </w:tcPr>
          <w:p>
            <w:pPr>
              <w:spacing w:before="60" w:after="40"/>
            </w:pPr>
            <w:r>
              <w:rPr>
                <w:rFonts w:ascii="Arial" w:cs="Arial" w:eastAsia="Arial" w:hAnsi="Arial"/>
                <w:b/>
                <w:bCs/>
                <w:color w:val="2E75B6"/>
                <w:sz w:val="22"/>
                <w:szCs w:val="22"/>
              </w:rPr>
              <w:t xml:space="preserve">Administrador de Empresas</w:t>
            </w:r>
          </w:p>
          <w:p>
            <w:pPr>
              <w:spacing w:before="40" w:after="40"/>
            </w:pPr>
            <w:r>
              <w:rPr>
                <w:rFonts w:ascii="Arial" w:cs="Arial" w:eastAsia="Arial" w:hAnsi="Arial"/>
                <w:color w:val="1A1A2E"/>
                <w:sz w:val="21"/>
                <w:szCs w:val="21"/>
              </w:rPr>
              <w:t xml:space="preserve">Responsable de la estrategia comercial, desarrollo de canales de venta, gestión de alianzas estratégicas y relaciones con clientes. Liderazgo del proceso de adquisición de clientes y expansión de mercado en Colombia.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Juan Camilo Rojas — VP de Tecnología (Co-desarrollador)</w:t>
            </w:r>
          </w:p>
        </w:tc>
      </w:tr>
      <w:tr>
        <w:tc>
          <w:tcPr>
            <w:tcW w:type="dxa" w:w="9360"/>
            <w:tcBorders>
              <w:top w:val="single" w:color="D9D9D9" w:sz="1"/>
              <w:left w:val="single" w:color="D9D9D9" w:sz="1"/>
              <w:bottom w:val="single" w:color="D9D9D9" w:sz="1"/>
              <w:right w:val="single" w:color="D9D9D9" w:sz="1"/>
            </w:tcBorders>
            <w:shd w:fill="EBF3FB" w:val="clear"/>
            <w:tcMar>
              <w:top w:type="dxa" w:w="120"/>
              <w:left w:type="dxa" w:w="180"/>
              <w:bottom w:type="dxa" w:w="120"/>
              <w:right w:type="dxa" w:w="180"/>
            </w:tcMar>
          </w:tcPr>
          <w:p>
            <w:pPr>
              <w:spacing w:before="60" w:after="40"/>
            </w:pPr>
            <w:r>
              <w:rPr>
                <w:rFonts w:ascii="Arial" w:cs="Arial" w:eastAsia="Arial" w:hAnsi="Arial"/>
                <w:b/>
                <w:bCs/>
                <w:color w:val="2E75B6"/>
                <w:sz w:val="22"/>
                <w:szCs w:val="22"/>
              </w:rPr>
              <w:t xml:space="preserve">Ingeniero Electrónico</w:t>
            </w:r>
          </w:p>
          <w:p>
            <w:pPr>
              <w:spacing w:before="40" w:after="40"/>
            </w:pPr>
            <w:r>
              <w:rPr>
                <w:rFonts w:ascii="Arial" w:cs="Arial" w:eastAsia="Arial" w:hAnsi="Arial"/>
                <w:color w:val="1A1A2E"/>
                <w:sz w:val="21"/>
                <w:szCs w:val="21"/>
              </w:rPr>
              <w:t xml:space="preserve">Colabora activamente en el desarrollo del producto, integración de hardware e IoT futuro, y soporte técnico a clientes. Su perfil de ingeniería electrónica fortalece la visión de automatización física para industrias como manufactura y logística.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4"/>
                <w:szCs w:val="24"/>
              </w:rPr>
              <w:t xml:space="preserve">Fabian Rojas Kasama — VP Financiero</w:t>
            </w:r>
          </w:p>
        </w:tc>
      </w:tr>
      <w:tr>
        <w:tc>
          <w:tcPr>
            <w:tcW w:type="dxa" w:w="9360"/>
            <w:tcBorders>
              <w:top w:val="single" w:color="D9D9D9" w:sz="1"/>
              <w:left w:val="single" w:color="D9D9D9" w:sz="1"/>
              <w:bottom w:val="single" w:color="D9D9D9" w:sz="1"/>
              <w:right w:val="single" w:color="D9D9D9" w:sz="1"/>
            </w:tcBorders>
            <w:shd w:fill="FFFFFF" w:val="clear"/>
            <w:tcMar>
              <w:top w:type="dxa" w:w="120"/>
              <w:left w:type="dxa" w:w="180"/>
              <w:bottom w:type="dxa" w:w="120"/>
              <w:right w:type="dxa" w:w="180"/>
            </w:tcMar>
          </w:tcPr>
          <w:p>
            <w:pPr>
              <w:spacing w:before="60" w:after="40"/>
            </w:pPr>
            <w:r>
              <w:rPr>
                <w:rFonts w:ascii="Arial" w:cs="Arial" w:eastAsia="Arial" w:hAnsi="Arial"/>
                <w:b/>
                <w:bCs/>
                <w:color w:val="2E75B6"/>
                <w:sz w:val="22"/>
                <w:szCs w:val="22"/>
              </w:rPr>
              <w:t xml:space="preserve">Economista</w:t>
            </w:r>
          </w:p>
          <w:p>
            <w:pPr>
              <w:spacing w:before="40" w:after="40"/>
            </w:pPr>
            <w:r>
              <w:rPr>
                <w:rFonts w:ascii="Arial" w:cs="Arial" w:eastAsia="Arial" w:hAnsi="Arial"/>
                <w:color w:val="1A1A2E"/>
                <w:sz w:val="21"/>
                <w:szCs w:val="21"/>
              </w:rPr>
              <w:t xml:space="preserve">Responsable de la planificación financiera, modelado de proyecciones, relaciones bancarias, estructuración del cap table y cumplimiento regulatorio. Supervisa el modelo de precios, márgenes y la estrategia de uso de recursos de inversión.</w:t>
            </w:r>
          </w:p>
        </w:tc>
      </w:tr>
    </w:tbl>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12. Estructura Societaria</w:t>
      </w:r>
    </w:p>
    <w:p>
      <w:pPr>
        <w:pStyle w:val="Heading2"/>
        <w:spacing w:before="280" w:after="120"/>
      </w:pPr>
      <w:r>
        <w:rPr>
          <w:rFonts w:ascii="Arial" w:cs="Arial" w:eastAsia="Arial" w:hAnsi="Arial"/>
          <w:b/>
          <w:bCs/>
          <w:color w:val="2E75B6"/>
          <w:sz w:val="26"/>
          <w:szCs w:val="26"/>
        </w:rPr>
        <w:t xml:space="preserve">12.1 Constitución Legal</w:t>
      </w:r>
    </w:p>
    <w:p>
      <w:pPr>
        <w:spacing w:before="80" w:after="80" w:line="276"/>
        <w:jc w:val="both"/>
      </w:pPr>
      <w:r>
        <w:rPr>
          <w:rFonts w:ascii="Arial" w:cs="Arial" w:eastAsia="Arial" w:hAnsi="Arial"/>
          <w:color w:val="1A1A2E"/>
          <w:sz w:val="22"/>
          <w:szCs w:val="22"/>
        </w:rPr>
        <w:t xml:space="preserve">Automatiza360 opera bajo la figura jurídica de Sociedad por Acciones Simplificada (S.A.S.), la estructura más flexible del ordenamiento colombiano para empresas tecnológicas de alto crecimiento, actualmente en proceso de registro ante la Cámara de Comercio de Cali.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Parámetro</w:t>
            </w:r>
          </w:p>
        </w:tc>
        <w:tc>
          <w:tcPr>
            <w:tcW w:type="dxa" w:w="3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Detalle</w:t>
            </w:r>
          </w:p>
        </w:tc>
        <w:tc>
          <w:tcPr>
            <w:tcW w:type="dxa" w:w="29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Estado</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Razón social</w:t>
            </w:r>
          </w:p>
        </w:tc>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Automatiza360 S.A.S.</w:t>
            </w:r>
          </w:p>
        </w:tc>
        <w:tc>
          <w:tcPr>
            <w:tcW w:type="dxa" w:w="29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20"/>
                <w:szCs w:val="20"/>
              </w:rPr>
              <w:t xml:space="preserve">En constitución</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Tipo societario</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Sociedad por Acciones Simplificada</w:t>
            </w:r>
          </w:p>
        </w:tc>
        <w:tc>
          <w:tcPr>
            <w:tcW w:type="dxa" w:w="2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20"/>
                <w:szCs w:val="20"/>
              </w:rPr>
              <w:t xml:space="preserve">Aprobado por equipo</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Régimen tributario</w:t>
            </w:r>
          </w:p>
        </w:tc>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Régimen Simple de Tributación (RST)</w:t>
            </w:r>
          </w:p>
        </w:tc>
        <w:tc>
          <w:tcPr>
            <w:tcW w:type="dxa" w:w="29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20"/>
                <w:szCs w:val="20"/>
              </w:rPr>
              <w:t xml:space="preserve">A registrar en DIAN</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Sede principal</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Cali, Valle del Cauca, Colombia</w:t>
            </w:r>
          </w:p>
        </w:tc>
        <w:tc>
          <w:tcPr>
            <w:tcW w:type="dxa" w:w="2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20"/>
                <w:szCs w:val="20"/>
              </w:rPr>
              <w:t xml:space="preserve">Confirmado</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Domicilio fiscal</w:t>
            </w:r>
          </w:p>
        </w:tc>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Cali, Colombia</w:t>
            </w:r>
          </w:p>
        </w:tc>
        <w:tc>
          <w:tcPr>
            <w:tcW w:type="dxa" w:w="29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20"/>
                <w:szCs w:val="20"/>
              </w:rPr>
              <w:t xml:space="preserve">Confirmado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Actividad CIIU</w:t>
            </w:r>
          </w:p>
        </w:tc>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6201 — Desarrollo de software a medida</w:t>
            </w:r>
          </w:p>
        </w:tc>
        <w:tc>
          <w:tcPr>
            <w:tcW w:type="dxa" w:w="29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2E75B6"/>
                <w:sz w:val="20"/>
                <w:szCs w:val="20"/>
              </w:rPr>
              <w:t xml:space="preserve">Clasificado</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12.2 Distribución del Cap Table</w:t>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La distribución exacta de acciones se definirá al momento de la constitución formal. La siguiente tabla refleja la distribución acordada entre cofundadores.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Cofundador</w:t>
            </w:r>
          </w:p>
        </w:tc>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Rol</w:t>
            </w:r>
          </w:p>
        </w:tc>
        <w:tc>
          <w:tcPr>
            <w:tcW w:type="dxa" w:w="20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participación</w:t>
            </w:r>
          </w:p>
        </w:tc>
        <w:tc>
          <w:tcPr>
            <w:tcW w:type="dxa" w:w="21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Tipo de aporte</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David Rojas Kasama</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CEO &amp; CTO</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B3F8B"/>
                <w:sz w:val="20"/>
                <w:szCs w:val="20"/>
              </w:rPr>
              <w:t xml:space="preserve">40%</w:t>
            </w:r>
          </w:p>
        </w:tc>
        <w:tc>
          <w:tcPr>
            <w:tcW w:type="dxa" w:w="2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Tecnología + IP + liderazgo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Miguel Angel Garzón</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VP Comercial</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3F8B"/>
                <w:sz w:val="20"/>
                <w:szCs w:val="20"/>
              </w:rPr>
              <w:t xml:space="preserve">20%</w:t>
            </w:r>
          </w:p>
        </w:tc>
        <w:tc>
          <w:tcPr>
            <w:tcW w:type="dxa" w:w="2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Red comercial + ventas</w:t>
            </w:r>
          </w:p>
        </w:tc>
      </w:tr>
      <w:tr>
        <w:tc>
          <w:tcPr>
            <w:tcW w:type="dxa" w:w="32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Juan Camilo Rojas</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VP Tecnología</w:t>
            </w:r>
          </w:p>
        </w:tc>
        <w:tc>
          <w:tcPr>
            <w:tcW w:type="dxa" w:w="20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B3F8B"/>
                <w:sz w:val="20"/>
                <w:szCs w:val="20"/>
              </w:rPr>
              <w:t xml:space="preserve">20%</w:t>
            </w:r>
          </w:p>
        </w:tc>
        <w:tc>
          <w:tcPr>
            <w:tcW w:type="dxa" w:w="21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Desarrollo + soporte técnico</w:t>
            </w:r>
          </w:p>
        </w:tc>
      </w:tr>
      <w:tr>
        <w:tc>
          <w:tcPr>
            <w:tcW w:type="dxa" w:w="32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Fabian Rojas Kasama</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VP Financiero</w:t>
            </w:r>
          </w:p>
        </w:tc>
        <w:tc>
          <w:tcPr>
            <w:tcW w:type="dxa" w:w="20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3F8B"/>
                <w:sz w:val="20"/>
                <w:szCs w:val="20"/>
              </w:rPr>
              <w:t xml:space="preserve">20%</w:t>
            </w:r>
          </w:p>
        </w:tc>
        <w:tc>
          <w:tcPr>
            <w:tcW w:type="dxa" w:w="21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Modelado financiero + gestión</w:t>
            </w:r>
          </w:p>
        </w:tc>
      </w:tr>
    </w:tbl>
    <w:p>
      <w:pPr>
        <w:spacing w:before="80" w:after="0"/>
      </w:pPr>
      <w:r>
        <w:t xml:space="preserve"/>
      </w:r>
    </w:p>
    <w:p>
      <w:pPr>
        <w:spacing w:before="60" w:after="60"/>
        <w:ind w:left="400"/>
      </w:pPr>
      <w:r>
        <w:rPr>
          <w:rFonts w:ascii="Arial" w:cs="Arial" w:eastAsia="Arial" w:hAnsi="Arial"/>
          <w:color w:val="2E75B6"/>
          <w:sz w:val="20"/>
          <w:szCs w:val="20"/>
        </w:rPr>
        <w:t xml:space="preserve">ⓘ </w:t>
      </w:r>
      <w:r>
        <w:rPr>
          <w:rFonts w:ascii="Arial" w:cs="Arial" w:eastAsia="Arial" w:hAnsi="Arial"/>
          <w:i/>
          <w:iCs/>
          <w:color w:val="555555"/>
          <w:sz w:val="20"/>
          <w:szCs w:val="20"/>
        </w:rPr>
        <w:t xml:space="preserve">No se ha emitido pool de opciones para empleados (ESOP) en esta fase. Se contempla reserva del 10–15% para talento clave a partir del año 2.</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13. Solicitud de Inversión y Uso de Fondos</w:t>
      </w:r>
    </w:p>
    <w:p>
      <w:pPr>
        <w:pStyle w:val="Heading2"/>
        <w:spacing w:before="280" w:after="120"/>
      </w:pPr>
      <w:r>
        <w:rPr>
          <w:rFonts w:ascii="Arial" w:cs="Arial" w:eastAsia="Arial" w:hAnsi="Arial"/>
          <w:b/>
          <w:bCs/>
          <w:color w:val="2E75B6"/>
          <w:sz w:val="26"/>
          <w:szCs w:val="26"/>
        </w:rPr>
        <w:t xml:space="preserve">13.1 Resumen del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F8B" w:sz="1"/>
              <w:left w:val="single" w:color="1B3F8B" w:sz="1"/>
              <w:bottom w:val="single" w:color="1B3F8B" w:sz="1"/>
              <w:right w:val="single" w:color="1B3F8B" w:sz="1"/>
            </w:tcBorders>
            <w:shd w:fill="EBF3FB" w:val="clear"/>
            <w:tcMar>
              <w:top w:type="dxa" w:w="160"/>
              <w:left w:type="dxa" w:w="200"/>
              <w:bottom w:type="dxa" w:w="160"/>
              <w:right w:type="dxa" w:w="200"/>
            </w:tcMar>
          </w:tcPr>
          <w:p>
            <w:pPr>
              <w:jc w:val="center"/>
            </w:pPr>
            <w:r>
              <w:rPr>
                <w:rFonts w:ascii="Arial" w:cs="Arial" w:eastAsia="Arial" w:hAnsi="Arial"/>
                <w:b/>
                <w:bCs/>
                <w:color w:val="1B3F8B"/>
                <w:sz w:val="32"/>
                <w:szCs w:val="32"/>
              </w:rPr>
              <w:t xml:space="preserve">Buscamos COP $80.000.000 (~USD $19.500)</w:t>
            </w:r>
          </w:p>
          <w:p>
            <w:pPr>
              <w:spacing w:before="80" w:after="0"/>
              <w:jc w:val="center"/>
            </w:pPr>
            <w:r>
              <w:rPr>
                <w:rFonts w:ascii="Arial" w:cs="Arial" w:eastAsia="Arial" w:hAnsi="Arial"/>
                <w:i/>
                <w:iCs/>
                <w:color w:val="555555"/>
                <w:sz w:val="22"/>
                <w:szCs w:val="22"/>
              </w:rPr>
              <w:t xml:space="preserve">Capital semilla para 6 meses de runway operativo</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13.2 Uso Detallado de Fondos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1560"/>
        <w:gridCol w:w="1800"/>
      </w:tblGrid>
      <w:tr>
        <w:tc>
          <w:tcPr>
            <w:tcW w:type="dxa" w:w="3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Rubro</w:t>
            </w:r>
          </w:p>
        </w:tc>
        <w:tc>
          <w:tcPr>
            <w:tcW w:type="dxa" w:w="2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Detalle</w:t>
            </w:r>
          </w:p>
        </w:tc>
        <w:tc>
          <w:tcPr>
            <w:tcW w:type="dxa" w:w="15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 del total</w:t>
            </w:r>
          </w:p>
        </w:tc>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Monto COP</w:t>
            </w:r>
          </w:p>
        </w:tc>
      </w:tr>
      <w:tr>
        <w:tc>
          <w:tcPr>
            <w:tcW w:type="dxa" w:w="3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Pauta publicitaria Meta Ads</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$5M COP/mes x 6 meses</w:t>
            </w:r>
          </w:p>
        </w:tc>
        <w:tc>
          <w:tcPr>
            <w:tcW w:type="dxa" w:w="1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37,5%</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$30.000.000</w:t>
            </w:r>
          </w:p>
        </w:tc>
      </w:tr>
      <w:tr>
        <w:tc>
          <w:tcPr>
            <w:tcW w:type="dxa" w:w="3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Contratación desarrollador</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$4,5M COP/mes x 6 meses</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33,8%</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$27.000.000</w:t>
            </w:r>
          </w:p>
        </w:tc>
      </w:tr>
      <w:tr>
        <w:tc>
          <w:tcPr>
            <w:tcW w:type="dxa" w:w="3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Capital de trabajo (infraestructura)</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Twilio, Railway, Supabase, Gemini API</w:t>
            </w:r>
          </w:p>
        </w:tc>
        <w:tc>
          <w:tcPr>
            <w:tcW w:type="dxa" w:w="1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11,3%</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$9.000.000</w:t>
            </w:r>
          </w:p>
        </w:tc>
      </w:tr>
      <w:tr>
        <w:tc>
          <w:tcPr>
            <w:tcW w:type="dxa" w:w="3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Constitución legal SAS + gastos notariales</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Registro CCC, DIAN, honorarios</w:t>
            </w:r>
          </w:p>
        </w:tc>
        <w:tc>
          <w:tcPr>
            <w:tcW w:type="dxa" w:w="1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5,0%</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$4.000.000</w:t>
            </w:r>
          </w:p>
        </w:tc>
      </w:tr>
      <w:tr>
        <w:tc>
          <w:tcPr>
            <w:tcW w:type="dxa" w:w="3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Reserva operativa (imprevistos)</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Contingencias primeros 6 meses</w:t>
            </w:r>
          </w:p>
        </w:tc>
        <w:tc>
          <w:tcPr>
            <w:tcW w:type="dxa" w:w="1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12,5%</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$10.000.000</w:t>
            </w:r>
          </w:p>
        </w:tc>
      </w:tr>
      <w:tr>
        <w:tc>
          <w:tcPr>
            <w:tcW w:type="dxa" w:w="360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TOTAL</w:t>
            </w:r>
          </w:p>
        </w:tc>
        <w:tc>
          <w:tcPr>
            <w:tcW w:type="dxa" w:w="240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
            </w:r>
          </w:p>
        </w:tc>
        <w:tc>
          <w:tcPr>
            <w:tcW w:type="dxa" w:w="156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100%</w:t>
            </w:r>
          </w:p>
        </w:tc>
        <w:tc>
          <w:tcPr>
            <w:tcW w:type="dxa" w:w="1800"/>
            <w:tcBorders>
              <w:top w:val="single" w:color="D9D9D9" w:sz="1"/>
              <w:left w:val="single" w:color="D9D9D9" w:sz="1"/>
              <w:bottom w:val="single" w:color="D9D9D9" w:sz="1"/>
              <w:right w:val="single" w:color="D9D9D9" w:sz="1"/>
            </w:tcBorders>
            <w:shd w:fill="D6E8F5" w:val="clear"/>
            <w:tcMar>
              <w:top w:type="dxa" w:w="100"/>
              <w:left w:type="dxa" w:w="140"/>
              <w:bottom w:type="dxa" w:w="100"/>
              <w:right w:type="dxa" w:w="140"/>
            </w:tcMar>
            <w:vAlign w:val="center"/>
          </w:tcPr>
          <w:p>
            <w:pPr>
              <w:jc w:val="center"/>
            </w:pPr>
            <w:r>
              <w:rPr>
                <w:rFonts w:ascii="Arial" w:cs="Arial" w:eastAsia="Arial" w:hAnsi="Arial"/>
                <w:b/>
                <w:bCs/>
                <w:color w:val="1B3F8B"/>
                <w:sz w:val="20"/>
                <w:szCs w:val="20"/>
              </w:rPr>
              <w:t xml:space="preserve">$80.000.000</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13.3 Hitos al Usar Este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760"/>
        <w:gridCol w:w="2600"/>
      </w:tblGrid>
      <w:tr>
        <w:tc>
          <w:tcPr>
            <w:tcW w:type="dxa" w:w="1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Mes</w:t>
            </w:r>
          </w:p>
        </w:tc>
        <w:tc>
          <w:tcPr>
            <w:tcW w:type="dxa" w:w="2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Hito operativo</w:t>
            </w:r>
          </w:p>
        </w:tc>
        <w:tc>
          <w:tcPr>
            <w:tcW w:type="dxa" w:w="27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Clientes objetivo</w:t>
            </w:r>
          </w:p>
        </w:tc>
        <w:tc>
          <w:tcPr>
            <w:tcW w:type="dxa" w:w="2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Estado financiero</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1–2</w:t>
            </w:r>
          </w:p>
        </w:tc>
        <w:tc>
          <w:tcPr>
            <w:tcW w:type="dxa" w:w="2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Constituir SAS, lanzar pauta Meta, onboarding 3–5 clientes pago</w:t>
            </w:r>
          </w:p>
        </w:tc>
        <w:tc>
          <w:tcPr>
            <w:tcW w:type="dxa" w:w="27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5 clientes pagando</w:t>
            </w:r>
          </w:p>
        </w:tc>
        <w:tc>
          <w:tcPr>
            <w:tcW w:type="dxa" w:w="2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B5E20"/>
                <w:sz w:val="20"/>
                <w:szCs w:val="20"/>
              </w:rPr>
              <w:t xml:space="preserve">MRR: ~$1,1M COP</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3–4</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Contratar desarrollador, 15 clientes activos, primer video viral</w:t>
            </w:r>
          </w:p>
        </w:tc>
        <w:tc>
          <w:tcPr>
            <w:tcW w:type="dxa" w:w="27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15 clientes pagando</w:t>
            </w:r>
          </w:p>
        </w:tc>
        <w:tc>
          <w:tcPr>
            <w:tcW w:type="dxa" w:w="2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B5E20"/>
                <w:sz w:val="20"/>
                <w:szCs w:val="20"/>
              </w:rPr>
              <w:t xml:space="preserve">MRR: ~$3,3M COP</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5–6</w:t>
            </w:r>
          </w:p>
        </w:tc>
        <w:tc>
          <w:tcPr>
            <w:tcW w:type="dxa" w:w="2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Break even operativo, expandir a Bogotá/Medellín digitalmente</w:t>
            </w:r>
          </w:p>
        </w:tc>
        <w:tc>
          <w:tcPr>
            <w:tcW w:type="dxa" w:w="27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30 clientes pagando</w:t>
            </w:r>
          </w:p>
        </w:tc>
        <w:tc>
          <w:tcPr>
            <w:tcW w:type="dxa" w:w="2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B5E20"/>
                <w:sz w:val="20"/>
                <w:szCs w:val="20"/>
              </w:rPr>
              <w:t xml:space="preserve">MRR: ~$6,6M COP — breakeven</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13.4 Modalidades de Inversión Aceptadas</w:t>
      </w:r>
    </w:p>
    <w:p>
      <w:pPr>
        <w:pStyle w:val="ListParagraph"/>
        <w:numPr>
          <w:ilvl w:val="0"/>
          <w:numId w:val="2"/>
        </w:numPr>
        <w:spacing w:before="60" w:after="60" w:line="260"/>
      </w:pPr>
      <w:r>
        <w:rPr>
          <w:rFonts w:ascii="Arial" w:cs="Arial" w:eastAsia="Arial" w:hAnsi="Arial"/>
          <w:color w:val="1A1A2E"/>
          <w:sz w:val="22"/>
          <w:szCs w:val="22"/>
        </w:rPr>
        <w:t xml:space="preserve">Crédito bancario / Bancóldex: preferido para preservar equity del equipo fundador.</w:t>
      </w:r>
    </w:p>
    <w:p>
      <w:pPr>
        <w:pStyle w:val="ListParagraph"/>
        <w:numPr>
          <w:ilvl w:val="0"/>
          <w:numId w:val="2"/>
        </w:numPr>
        <w:spacing w:before="60" w:after="60" w:line="260"/>
      </w:pPr>
      <w:r>
        <w:rPr>
          <w:rFonts w:ascii="Arial" w:cs="Arial" w:eastAsia="Arial" w:hAnsi="Arial"/>
          <w:color w:val="1A1A2E"/>
          <w:sz w:val="22"/>
          <w:szCs w:val="22"/>
        </w:rPr>
        <w:t xml:space="preserve">Inversión ángel: participación accionaria minoritaria negociable (máx. 15% por ronda semilla).</w:t>
      </w:r>
    </w:p>
    <w:p>
      <w:pPr>
        <w:pStyle w:val="ListParagraph"/>
        <w:numPr>
          <w:ilvl w:val="0"/>
          <w:numId w:val="2"/>
        </w:numPr>
        <w:spacing w:before="60" w:after="60" w:line="260"/>
      </w:pPr>
      <w:r>
        <w:rPr>
          <w:rFonts w:ascii="Arial" w:cs="Arial" w:eastAsia="Arial" w:hAnsi="Arial"/>
          <w:color w:val="1A1A2E"/>
          <w:sz w:val="22"/>
          <w:szCs w:val="22"/>
        </w:rPr>
        <w:t xml:space="preserve">iNNpulsa Colombia / Fondo Emprender: aplica para capital no reembolsable si la empresa está constituida.</w:t>
      </w:r>
    </w:p>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14. Riesgos y Mitigaciones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1400"/>
        <w:gridCol w:w="2800"/>
        <w:gridCol w:w="2460"/>
      </w:tblGrid>
      <w:tr>
        <w:tc>
          <w:tcPr>
            <w:tcW w:type="dxa" w:w="3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t>
            </w:r>
          </w:p>
        </w:tc>
        <w:tc>
          <w:tcPr>
            <w:tcW w:type="dxa" w:w="2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Riesgo</w:t>
            </w:r>
          </w:p>
        </w:tc>
        <w:tc>
          <w:tcPr>
            <w:tcW w:type="dxa" w:w="1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Probabilidad</w:t>
            </w:r>
          </w:p>
        </w:tc>
        <w:tc>
          <w:tcPr>
            <w:tcW w:type="dxa" w:w="2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Impacto</w:t>
            </w:r>
          </w:p>
        </w:tc>
        <w:tc>
          <w:tcPr>
            <w:tcW w:type="dxa" w:w="24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Mitigación</w:t>
            </w:r>
          </w:p>
        </w:tc>
      </w:tr>
      <w:tr>
        <w:tc>
          <w:tcPr>
            <w:tcW w:type="dxa" w:w="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1</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Dependencia de Twilio / Meta WhatsApp API</w:t>
            </w:r>
          </w:p>
        </w:tc>
        <w:tc>
          <w:tcPr>
            <w:tcW w:type="dxa" w:w="1400"/>
            <w:tcBorders>
              <w:top w:val="single" w:color="D9D9D9" w:sz="1"/>
              <w:left w:val="single" w:color="D9D9D9" w:sz="1"/>
              <w:bottom w:val="single" w:color="D9D9D9" w:sz="1"/>
              <w:right w:val="single" w:color="D9D9D9"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20"/>
                <w:szCs w:val="20"/>
              </w:rPr>
              <w:t xml:space="preserve">Media</w:t>
            </w:r>
          </w:p>
        </w:tc>
        <w:tc>
          <w:tcPr>
            <w:tcW w:type="dxa" w:w="2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Interrupción del servicio principal del bot</w:t>
            </w:r>
          </w:p>
        </w:tc>
        <w:tc>
          <w:tcPr>
            <w:tcW w:type="dxa" w:w="24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Arquitectura con capa de abstracción; proveedor alternativo: 360dialog, MessageBird</w:t>
            </w:r>
          </w:p>
        </w:tc>
      </w:tr>
      <w:tr>
        <w:tc>
          <w:tcPr>
            <w:tcW w:type="dxa" w:w="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2</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Churn elevado en etapa inicial</w:t>
            </w:r>
          </w:p>
        </w:tc>
        <w:tc>
          <w:tcPr>
            <w:tcW w:type="dxa" w:w="1400"/>
            <w:tcBorders>
              <w:top w:val="single" w:color="D9D9D9" w:sz="1"/>
              <w:left w:val="single" w:color="D9D9D9" w:sz="1"/>
              <w:bottom w:val="single" w:color="D9D9D9" w:sz="1"/>
              <w:right w:val="single" w:color="D9D9D9" w:sz="1"/>
            </w:tcBorders>
            <w:shd w:fill="FFEBEE" w:val="clear"/>
            <w:tcMar>
              <w:top w:type="dxa" w:w="100"/>
              <w:left w:type="dxa" w:w="140"/>
              <w:bottom w:type="dxa" w:w="100"/>
              <w:right w:type="dxa" w:w="140"/>
            </w:tcMar>
            <w:vAlign w:val="center"/>
          </w:tcPr>
          <w:p>
            <w:pPr>
              <w:jc w:val="center"/>
            </w:pPr>
            <w:r>
              <w:rPr>
                <w:rFonts w:ascii="Arial" w:cs="Arial" w:eastAsia="Arial" w:hAnsi="Arial"/>
                <w:b w:val="false"/>
                <w:bCs w:val="false"/>
                <w:color w:val="B71C1C"/>
                <w:sz w:val="20"/>
                <w:szCs w:val="20"/>
              </w:rPr>
              <w:t xml:space="preserve">Media-Alta</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Menor MRR real vs proyectado en año 1</w:t>
            </w:r>
          </w:p>
        </w:tc>
        <w:tc>
          <w:tcPr>
            <w:tcW w:type="dxa" w:w="2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Onboarding estructurado, CSM activo, recordatorios en app, NPS mensual</w:t>
            </w:r>
          </w:p>
        </w:tc>
      </w:tr>
      <w:tr>
        <w:tc>
          <w:tcPr>
            <w:tcW w:type="dxa" w:w="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3</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Competencia de actores globales (WATI, Trengo)</w:t>
            </w:r>
          </w:p>
        </w:tc>
        <w:tc>
          <w:tcPr>
            <w:tcW w:type="dxa" w:w="1400"/>
            <w:tcBorders>
              <w:top w:val="single" w:color="D9D9D9" w:sz="1"/>
              <w:left w:val="single" w:color="D9D9D9" w:sz="1"/>
              <w:bottom w:val="single" w:color="D9D9D9" w:sz="1"/>
              <w:right w:val="single" w:color="D9D9D9"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20"/>
                <w:szCs w:val="20"/>
              </w:rPr>
              <w:t xml:space="preserve">Media</w:t>
            </w:r>
          </w:p>
        </w:tc>
        <w:tc>
          <w:tcPr>
            <w:tcW w:type="dxa" w:w="2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Presión en precios y adquisición</w:t>
            </w:r>
          </w:p>
        </w:tc>
        <w:tc>
          <w:tcPr>
            <w:tcW w:type="dxa" w:w="24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Diferenciación por IA real + soporte local + precio LatAm</w:t>
            </w:r>
          </w:p>
        </w:tc>
      </w:tr>
      <w:tr>
        <w:tc>
          <w:tcPr>
            <w:tcW w:type="dxa" w:w="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4</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Concentración en un fundador técnico (key-person)</w:t>
            </w:r>
          </w:p>
        </w:tc>
        <w:tc>
          <w:tcPr>
            <w:tcW w:type="dxa" w:w="1400"/>
            <w:tcBorders>
              <w:top w:val="single" w:color="D9D9D9" w:sz="1"/>
              <w:left w:val="single" w:color="D9D9D9" w:sz="1"/>
              <w:bottom w:val="single" w:color="D9D9D9" w:sz="1"/>
              <w:right w:val="single" w:color="D9D9D9"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20"/>
                <w:szCs w:val="20"/>
              </w:rPr>
              <w:t xml:space="preserve">Baja-Media</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Riesgo operativo si hay indisponibilidad del CEO</w:t>
            </w:r>
          </w:p>
        </w:tc>
        <w:tc>
          <w:tcPr>
            <w:tcW w:type="dxa" w:w="2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Documentación técnica exhaustiva; Juan Camilo como segundo técnico activo</w:t>
            </w:r>
          </w:p>
        </w:tc>
      </w:tr>
      <w:tr>
        <w:tc>
          <w:tcPr>
            <w:tcW w:type="dxa" w:w="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5</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Cambios en pricing Google Gemini API</w:t>
            </w:r>
          </w:p>
        </w:tc>
        <w:tc>
          <w:tcPr>
            <w:tcW w:type="dxa" w:w="140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Baja</w:t>
            </w:r>
          </w:p>
        </w:tc>
        <w:tc>
          <w:tcPr>
            <w:tcW w:type="dxa" w:w="2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Aumento de costos variables de IA</w:t>
            </w:r>
          </w:p>
        </w:tc>
        <w:tc>
          <w:tcPr>
            <w:tcW w:type="dxa" w:w="24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Arquitectura multi-LLM: fallback a Gemini Flash Lite o GPT-4o-mini</w:t>
            </w:r>
          </w:p>
        </w:tc>
      </w:tr>
      <w:tr>
        <w:tc>
          <w:tcPr>
            <w:tcW w:type="dxa" w:w="3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6</w:t>
            </w:r>
          </w:p>
        </w:tc>
        <w:tc>
          <w:tcPr>
            <w:tcW w:type="dxa" w:w="2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Incumplimiento regulatorio (Ley 1581 — datos personales)</w:t>
            </w:r>
          </w:p>
        </w:tc>
        <w:tc>
          <w:tcPr>
            <w:tcW w:type="dxa" w:w="1400"/>
            <w:tcBorders>
              <w:top w:val="single" w:color="D9D9D9" w:sz="1"/>
              <w:left w:val="single" w:color="D9D9D9" w:sz="1"/>
              <w:bottom w:val="single" w:color="D9D9D9" w:sz="1"/>
              <w:right w:val="single" w:color="D9D9D9" w:sz="1"/>
            </w:tcBorders>
            <w:shd w:fill="E8F5E9"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Baja</w:t>
            </w:r>
          </w:p>
        </w:tc>
        <w:tc>
          <w:tcPr>
            <w:tcW w:type="dxa" w:w="2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Sanciones SIC, pérdida de confianza</w:t>
            </w:r>
          </w:p>
        </w:tc>
        <w:tc>
          <w:tcPr>
            <w:tcW w:type="dxa" w:w="24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DPA con clientes, aviso de privacidad, política de datos desde día 1</w:t>
            </w:r>
          </w:p>
        </w:tc>
      </w:tr>
      <w:tr>
        <w:tc>
          <w:tcPr>
            <w:tcW w:type="dxa" w:w="3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7</w:t>
            </w:r>
          </w:p>
        </w:tc>
        <w:tc>
          <w:tcPr>
            <w:tcW w:type="dxa" w:w="2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bCs/>
                <w:color w:val="1A1A2E"/>
                <w:sz w:val="20"/>
                <w:szCs w:val="20"/>
              </w:rPr>
              <w:t xml:space="preserve">Dificultad de acceso a API de WhatsApp Business (Meta)</w:t>
            </w:r>
          </w:p>
        </w:tc>
        <w:tc>
          <w:tcPr>
            <w:tcW w:type="dxa" w:w="1400"/>
            <w:tcBorders>
              <w:top w:val="single" w:color="D9D9D9" w:sz="1"/>
              <w:left w:val="single" w:color="D9D9D9" w:sz="1"/>
              <w:bottom w:val="single" w:color="D9D9D9" w:sz="1"/>
              <w:right w:val="single" w:color="D9D9D9" w:sz="1"/>
            </w:tcBorders>
            <w:shd w:fill="FFF3E0" w:val="clear"/>
            <w:tcMar>
              <w:top w:type="dxa" w:w="100"/>
              <w:left w:type="dxa" w:w="140"/>
              <w:bottom w:type="dxa" w:w="100"/>
              <w:right w:type="dxa" w:w="140"/>
            </w:tcMar>
            <w:vAlign w:val="center"/>
          </w:tcPr>
          <w:p>
            <w:pPr>
              <w:jc w:val="center"/>
            </w:pPr>
            <w:r>
              <w:rPr>
                <w:rFonts w:ascii="Arial" w:cs="Arial" w:eastAsia="Arial" w:hAnsi="Arial"/>
                <w:b w:val="false"/>
                <w:bCs w:val="false"/>
                <w:color w:val="E65100"/>
                <w:sz w:val="20"/>
                <w:szCs w:val="20"/>
              </w:rPr>
              <w:t xml:space="preserve">Media</w:t>
            </w:r>
          </w:p>
        </w:tc>
        <w:tc>
          <w:tcPr>
            <w:tcW w:type="dxa" w:w="2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Demora en escalar más allá del sandbox</w:t>
            </w:r>
          </w:p>
        </w:tc>
        <w:tc>
          <w:tcPr>
            <w:tcW w:type="dxa" w:w="24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Solicitud de BSP (Business Solution Provider) desde mes 3</w:t>
            </w:r>
          </w:p>
        </w:tc>
      </w:tr>
    </w:tbl>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15. Hitos Clave y Próximos Pasos</w:t>
      </w:r>
    </w:p>
    <w:p>
      <w:pPr>
        <w:pStyle w:val="Heading2"/>
        <w:spacing w:before="280" w:after="120"/>
      </w:pPr>
      <w:r>
        <w:rPr>
          <w:rFonts w:ascii="Arial" w:cs="Arial" w:eastAsia="Arial" w:hAnsi="Arial"/>
          <w:b/>
          <w:bCs/>
          <w:color w:val="2E75B6"/>
          <w:sz w:val="26"/>
          <w:szCs w:val="26"/>
        </w:rPr>
        <w:t xml:space="preserve">15.1 Estado Actual — Logros a Marzo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2"/>
                <w:szCs w:val="22"/>
              </w:rPr>
              <w:t xml:space="preserve">Producto en producción — plataforma funcional y operando</w:t>
            </w:r>
          </w:p>
        </w:tc>
      </w:tr>
      <w:tr>
        <w:tc>
          <w:tcPr>
            <w:tcW w:type="dxa" w:w="93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tcPr>
          <w:p>
            <w:r>
              <w:rPr>
                <w:rFonts w:ascii="Arial" w:cs="Arial" w:eastAsia="Arial" w:hAnsi="Arial"/>
                <w:color w:val="1A1A2E"/>
                <w:sz w:val="21"/>
                <w:szCs w:val="21"/>
              </w:rPr>
              <w:t xml:space="preserve">Plataforma multi-tenant en producción con 4 tenants piloto activos (Tienda Gamer, Restaurante Mi Vecina, Clínica MediCare, BeautyGlow)</w:t>
            </w:r>
          </w:p>
        </w:tc>
      </w:tr>
      <w:tr>
        <w:tc>
          <w:tcPr>
            <w:tcW w:type="dxa" w:w="9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Bot WhatsApp con IA real operando para 4 industrias distintas</w:t>
            </w:r>
          </w:p>
        </w:tc>
      </w:tr>
      <w:tr>
        <w:tc>
          <w:tcPr>
            <w:tcW w:type="dxa" w:w="93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tcPr>
          <w:p>
            <w:r>
              <w:rPr>
                <w:rFonts w:ascii="Arial" w:cs="Arial" w:eastAsia="Arial" w:hAnsi="Arial"/>
                <w:color w:val="1A1A2E"/>
                <w:sz w:val="21"/>
                <w:szCs w:val="21"/>
              </w:rPr>
              <w:t xml:space="preserve">Módulo de citas con calendario visual, recordatorios automáticos y notificaciones</w:t>
            </w:r>
          </w:p>
        </w:tc>
      </w:tr>
      <w:tr>
        <w:tc>
          <w:tcPr>
            <w:tcW w:type="dxa" w:w="9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Panel SUPERADMIN completo con métricas globales</w:t>
            </w:r>
          </w:p>
        </w:tc>
      </w:tr>
      <w:tr>
        <w:tc>
          <w:tcPr>
            <w:tcW w:type="dxa" w:w="93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tcPr>
          <w:p>
            <w:r>
              <w:rPr>
                <w:rFonts w:ascii="Arial" w:cs="Arial" w:eastAsia="Arial" w:hAnsi="Arial"/>
                <w:color w:val="1A1A2E"/>
                <w:sz w:val="21"/>
                <w:szCs w:val="21"/>
              </w:rPr>
              <w:t xml:space="preserve">Integración de pagos Wompi con activación automática de plan</w:t>
            </w:r>
          </w:p>
        </w:tc>
      </w:tr>
      <w:tr>
        <w:tc>
          <w:tcPr>
            <w:tcW w:type="dxa" w:w="93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tcPr>
          <w:p>
            <w:r>
              <w:rPr>
                <w:rFonts w:ascii="Arial" w:cs="Arial" w:eastAsia="Arial" w:hAnsi="Arial"/>
                <w:color w:val="1A1A2E"/>
                <w:sz w:val="21"/>
                <w:szCs w:val="21"/>
              </w:rPr>
              <w:t xml:space="preserve">Vista responsive para móvil en todas las páginas</w:t>
            </w:r>
          </w:p>
        </w:tc>
      </w:tr>
      <w:tr>
        <w:tc>
          <w:tcPr>
            <w:tcW w:type="dxa" w:w="93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tcPr>
          <w:p>
            <w:r>
              <w:rPr>
                <w:rFonts w:ascii="Arial" w:cs="Arial" w:eastAsia="Arial" w:hAnsi="Arial"/>
                <w:color w:val="1A1A2E"/>
                <w:sz w:val="21"/>
                <w:szCs w:val="21"/>
              </w:rPr>
              <w:t xml:space="preserve">Landing page bilingüe con onboarding y trial 14 días</w:t>
            </w:r>
          </w:p>
        </w:tc>
      </w:tr>
    </w:tbl>
    <w:p>
      <w:pPr>
        <w:spacing w:before="80" w:after="0"/>
      </w:pPr>
      <w:r>
        <w:t xml:space="preserve"/>
      </w:r>
    </w:p>
    <w:p>
      <w:pPr>
        <w:pStyle w:val="Heading2"/>
        <w:spacing w:before="280" w:after="120"/>
      </w:pPr>
      <w:r>
        <w:rPr>
          <w:rFonts w:ascii="Arial" w:cs="Arial" w:eastAsia="Arial" w:hAnsi="Arial"/>
          <w:b/>
          <w:bCs/>
          <w:color w:val="2E75B6"/>
          <w:sz w:val="26"/>
          <w:szCs w:val="26"/>
        </w:rPr>
        <w:t xml:space="preserve">15.2 Hitos Próximos 12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560"/>
        <w:gridCol w:w="1800"/>
        <w:gridCol w:w="1600"/>
      </w:tblGrid>
      <w:tr>
        <w:tc>
          <w:tcPr>
            <w:tcW w:type="dxa" w:w="14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Período</w:t>
            </w:r>
          </w:p>
        </w:tc>
        <w:tc>
          <w:tcPr>
            <w:tcW w:type="dxa" w:w="456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left"/>
            </w:pPr>
            <w:r>
              <w:rPr>
                <w:rFonts w:ascii="Arial" w:cs="Arial" w:eastAsia="Arial" w:hAnsi="Arial"/>
                <w:b/>
                <w:bCs/>
                <w:color w:val="FFFFFF"/>
                <w:sz w:val="20"/>
                <w:szCs w:val="20"/>
              </w:rPr>
              <w:t xml:space="preserve">Hito</w:t>
            </w:r>
          </w:p>
        </w:tc>
        <w:tc>
          <w:tcPr>
            <w:tcW w:type="dxa" w:w="18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Métrica de éxito</w:t>
            </w:r>
          </w:p>
        </w:tc>
        <w:tc>
          <w:tcPr>
            <w:tcW w:type="dxa" w:w="1600"/>
            <w:tcBorders>
              <w:top w:val="single" w:color="1B3F8B" w:sz="1"/>
              <w:left w:val="single" w:color="1B3F8B" w:sz="1"/>
              <w:bottom w:val="single" w:color="1B3F8B" w:sz="1"/>
              <w:right w:val="single" w:color="1B3F8B" w:sz="1"/>
            </w:tcBorders>
            <w:shd w:fill="1B3F8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Responsable</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1</w:t>
            </w:r>
          </w:p>
        </w:tc>
        <w:tc>
          <w:tcPr>
            <w:tcW w:type="dxa" w:w="4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Constitución formal SAS + inicio pauta Meta</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SAS registrada</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Fabian + David</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1–2</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Convertir 3–5 pilotos a clientes de pago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5 clientes pagando</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Miguel Angel</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2</w:t>
            </w:r>
          </w:p>
        </w:tc>
        <w:tc>
          <w:tcPr>
            <w:tcW w:type="dxa" w:w="4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Contratar desarrollador junior (React/Node)</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Dev contratado</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David</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3</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Lanzar 3 videos virales en TikTok/IG Reels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&gt;10K vistas combinadas</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Equipo</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4</w:t>
            </w:r>
          </w:p>
        </w:tc>
        <w:tc>
          <w:tcPr>
            <w:tcW w:type="dxa" w:w="4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15 clientes activos pagando</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MRR &gt; $3,3M COP</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Miguel Angel</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6</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Break even operativo</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30 clientes, MRR &gt; $6,6M COP</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Todo el equipo</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8</w:t>
            </w:r>
          </w:p>
        </w:tc>
        <w:tc>
          <w:tcPr>
            <w:tcW w:type="dxa" w:w="4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Presencia digital Bogotá y Medellín</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10 clientes fuera de Cali</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Miguel Angel</w:t>
            </w:r>
          </w:p>
        </w:tc>
      </w:tr>
      <w:tr>
        <w:tc>
          <w:tcPr>
            <w:tcW w:type="dxa" w:w="14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10</w:t>
            </w:r>
          </w:p>
        </w:tc>
        <w:tc>
          <w:tcPr>
            <w:tcW w:type="dxa" w:w="456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Integración BSP oficial Meta WhatsApp Business</w:t>
            </w:r>
          </w:p>
        </w:tc>
        <w:tc>
          <w:tcPr>
            <w:tcW w:type="dxa" w:w="18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API aprobada</w:t>
            </w:r>
          </w:p>
        </w:tc>
        <w:tc>
          <w:tcPr>
            <w:tcW w:type="dxa" w:w="1600"/>
            <w:tcBorders>
              <w:top w:val="single" w:color="D9D9D9" w:sz="1"/>
              <w:left w:val="single" w:color="D9D9D9" w:sz="1"/>
              <w:bottom w:val="single" w:color="D9D9D9" w:sz="1"/>
              <w:right w:val="single" w:color="D9D9D9"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David + Juan Camilo</w:t>
            </w:r>
          </w:p>
        </w:tc>
      </w:tr>
      <w:tr>
        <w:tc>
          <w:tcPr>
            <w:tcW w:type="dxa" w:w="14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bCs/>
                <w:color w:val="1A1A2E"/>
                <w:sz w:val="20"/>
                <w:szCs w:val="20"/>
              </w:rPr>
              <w:t xml:space="preserve">Mes 12</w:t>
            </w:r>
          </w:p>
        </w:tc>
        <w:tc>
          <w:tcPr>
            <w:tcW w:type="dxa" w:w="456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color w:val="1A1A2E"/>
                <w:sz w:val="20"/>
                <w:szCs w:val="20"/>
              </w:rPr>
              <w:t xml:space="preserve">50+ clientes activos — Serie A o reinversión</w:t>
            </w:r>
          </w:p>
        </w:tc>
        <w:tc>
          <w:tcPr>
            <w:tcW w:type="dxa" w:w="18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B5E20"/>
                <w:sz w:val="20"/>
                <w:szCs w:val="20"/>
              </w:rPr>
              <w:t xml:space="preserve">ARR &gt; $132M COP</w:t>
            </w:r>
          </w:p>
        </w:tc>
        <w:tc>
          <w:tcPr>
            <w:tcW w:type="dxa" w:w="1600"/>
            <w:tcBorders>
              <w:top w:val="single" w:color="D9D9D9" w:sz="1"/>
              <w:left w:val="single" w:color="D9D9D9" w:sz="1"/>
              <w:bottom w:val="single" w:color="D9D9D9" w:sz="1"/>
              <w:right w:val="single" w:color="D9D9D9"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color w:val="1A1A2E"/>
                <w:sz w:val="20"/>
                <w:szCs w:val="20"/>
              </w:rPr>
              <w:t xml:space="preserve">Fabian + David</w:t>
            </w:r>
          </w:p>
        </w:tc>
      </w:tr>
    </w:tbl>
    <w:p>
      <w:pPr>
        <w:spacing w:before="80" w:after="0"/>
      </w:pPr>
      <w:r>
        <w:t xml:space="preserve"/>
      </w:r>
    </w:p>
    <w:p>
      <w:r>
        <w:br w:type="page"/>
      </w:r>
    </w:p>
    <w:p>
      <w:pPr>
        <w:pStyle w:val="Heading1"/>
        <w:pBdr>
          <w:bottom w:val="single" w:color="2E75B6" w:sz="6" w:space="4"/>
        </w:pBdr>
        <w:spacing w:before="360" w:after="160"/>
      </w:pPr>
      <w:r>
        <w:rPr>
          <w:rFonts w:ascii="Arial" w:cs="Arial" w:eastAsia="Arial" w:hAnsi="Arial"/>
          <w:b/>
          <w:bCs/>
          <w:color w:val="1B3F8B"/>
          <w:sz w:val="32"/>
          <w:szCs w:val="32"/>
        </w:rPr>
        <w:t xml:space="preserve">16. Fuentes y Referencias Verificables</w:t>
      </w:r>
    </w:p>
    <w:p>
      <w:pPr>
        <w:spacing w:before="80" w:after="80" w:line="276"/>
        <w:jc w:val="left"/>
      </w:pPr>
      <w:r>
        <w:rPr>
          <w:rFonts w:ascii="Arial" w:cs="Arial" w:eastAsia="Arial" w:hAnsi="Arial"/>
          <w:color w:val="1A1A2E"/>
          <w:sz w:val="22"/>
          <w:szCs w:val="22"/>
        </w:rPr>
        <w:t xml:space="preserve">Todas las cifras de mercado, estadísticas y benchmarks en este documento son verificables públicamente en las siguientes fuentes primarias:</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Mercado y Tendencias SaaS</w:t>
      </w:r>
    </w:p>
    <w:p>
      <w:pPr>
        <w:pStyle w:val="ListParagraph"/>
        <w:numPr>
          <w:ilvl w:val="0"/>
          <w:numId w:val="2"/>
        </w:numPr>
        <w:spacing w:before="60" w:after="60" w:line="260"/>
      </w:pPr>
      <w:r>
        <w:rPr>
          <w:rFonts w:ascii="Arial" w:cs="Arial" w:eastAsia="Arial" w:hAnsi="Arial"/>
          <w:color w:val="1A1A2E"/>
          <w:sz w:val="22"/>
          <w:szCs w:val="22"/>
        </w:rPr>
        <w:t xml:space="preserve">IMARC Group (2026). Latin America SaaS Market Report 2026–2034. imarcgroup.com — USD $22,02B en 2025, CAGR 14,20%, proyección USD $72,73B en 2034.</w:t>
      </w:r>
    </w:p>
    <w:p>
      <w:pPr>
        <w:pStyle w:val="ListParagraph"/>
        <w:numPr>
          <w:ilvl w:val="0"/>
          <w:numId w:val="2"/>
        </w:numPr>
        <w:spacing w:before="60" w:after="60" w:line="260"/>
      </w:pPr>
      <w:r>
        <w:rPr>
          <w:rFonts w:ascii="Arial" w:cs="Arial" w:eastAsia="Arial" w:hAnsi="Arial"/>
          <w:color w:val="1A1A2E"/>
          <w:sz w:val="22"/>
          <w:szCs w:val="22"/>
        </w:rPr>
        <w:t xml:space="preserve">EBANX (Agosto 2025). Latin America's SaaS sector accelerating toward doubling by 2027. business.ebanx.com — SaaS LatAm crece 23% anual.</w:t>
      </w:r>
    </w:p>
    <w:p>
      <w:pPr>
        <w:pStyle w:val="ListParagraph"/>
        <w:numPr>
          <w:ilvl w:val="0"/>
          <w:numId w:val="2"/>
        </w:numPr>
        <w:spacing w:before="60" w:after="60" w:line="260"/>
      </w:pPr>
      <w:r>
        <w:rPr>
          <w:rFonts w:ascii="Arial" w:cs="Arial" w:eastAsia="Arial" w:hAnsi="Arial"/>
          <w:color w:val="1A1A2E"/>
          <w:sz w:val="22"/>
          <w:szCs w:val="22"/>
        </w:rPr>
        <w:t xml:space="preserve">Precedence Research (Enero 2026). Global SaaS Market Size &amp; Forecast 2026–2035. precedenceresearch.com — USD $408B en 2025, proyección USD $1.367B en 2035.</w:t>
      </w:r>
    </w:p>
    <w:p>
      <w:pPr>
        <w:pStyle w:val="ListParagraph"/>
        <w:numPr>
          <w:ilvl w:val="0"/>
          <w:numId w:val="2"/>
        </w:numPr>
        <w:spacing w:before="60" w:after="60" w:line="260"/>
      </w:pPr>
      <w:r>
        <w:rPr>
          <w:rFonts w:ascii="Arial" w:cs="Arial" w:eastAsia="Arial" w:hAnsi="Arial"/>
          <w:color w:val="1A1A2E"/>
          <w:sz w:val="22"/>
          <w:szCs w:val="22"/>
        </w:rPr>
        <w:t xml:space="preserve">Kairos Aureum LLC (2025). LatAm SaaS Expansion: 2025 Growth Playbook. kairosaureum.com — Colombia: crecimiento &gt;20% anual.</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Estadísticas de PyMEs — Colombia y Latinoamérica</w:t>
      </w:r>
    </w:p>
    <w:p>
      <w:pPr>
        <w:pStyle w:val="ListParagraph"/>
        <w:numPr>
          <w:ilvl w:val="0"/>
          <w:numId w:val="2"/>
        </w:numPr>
        <w:spacing w:before="60" w:after="60" w:line="260"/>
      </w:pPr>
      <w:r>
        <w:rPr>
          <w:rFonts w:ascii="Arial" w:cs="Arial" w:eastAsia="Arial" w:hAnsi="Arial"/>
          <w:color w:val="1A1A2E"/>
          <w:sz w:val="22"/>
          <w:szCs w:val="22"/>
        </w:rPr>
        <w:t xml:space="preserve">Confecámaras / RUES (Enero 2025). Dinámica de Creación de Empresas en Colombia 2024. confecamaras.org.co — 1.739.405 empresas activas.</w:t>
      </w:r>
    </w:p>
    <w:p>
      <w:pPr>
        <w:pStyle w:val="ListParagraph"/>
        <w:numPr>
          <w:ilvl w:val="0"/>
          <w:numId w:val="2"/>
        </w:numPr>
        <w:spacing w:before="60" w:after="60" w:line="260"/>
      </w:pPr>
      <w:r>
        <w:rPr>
          <w:rFonts w:ascii="Arial" w:cs="Arial" w:eastAsia="Arial" w:hAnsi="Arial"/>
          <w:color w:val="1A1A2E"/>
          <w:sz w:val="22"/>
          <w:szCs w:val="22"/>
        </w:rPr>
        <w:t xml:space="preserve">Cámara de Comercio de Cali (2024). Ritmo Empresarial 2024. ccc.org.co — 115.915 empresas inscritas en jurisdicción CCC.</w:t>
      </w:r>
    </w:p>
    <w:p>
      <w:pPr>
        <w:pStyle w:val="ListParagraph"/>
        <w:numPr>
          <w:ilvl w:val="0"/>
          <w:numId w:val="2"/>
        </w:numPr>
        <w:spacing w:before="60" w:after="60" w:line="260"/>
      </w:pPr>
      <w:r>
        <w:rPr>
          <w:rFonts w:ascii="Arial" w:cs="Arial" w:eastAsia="Arial" w:hAnsi="Arial"/>
          <w:color w:val="1A1A2E"/>
          <w:sz w:val="22"/>
          <w:szCs w:val="22"/>
        </w:rPr>
        <w:t xml:space="preserve">OECD (Julio 2024). SME Policy Index: Latin America and the Caribbean 2024. oecd.org — PyMEs: 99,5% del tejido empresarial, 60% del empleo formal.</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WhatsApp Business y Automatización</w:t>
      </w:r>
    </w:p>
    <w:p>
      <w:pPr>
        <w:pStyle w:val="ListParagraph"/>
        <w:numPr>
          <w:ilvl w:val="0"/>
          <w:numId w:val="2"/>
        </w:numPr>
        <w:spacing w:before="60" w:after="60" w:line="260"/>
      </w:pPr>
      <w:r>
        <w:rPr>
          <w:rFonts w:ascii="Arial" w:cs="Arial" w:eastAsia="Arial" w:hAnsi="Arial"/>
          <w:color w:val="1A1A2E"/>
          <w:sz w:val="22"/>
          <w:szCs w:val="22"/>
        </w:rPr>
        <w:t xml:space="preserve">Aurora Inbox (Marzo 2026). Adopción de WhatsApp Business en LatAm. aurorainbox.com — 87% empresas LatAm usan WhatsApp con clientes.</w:t>
      </w:r>
    </w:p>
    <w:p>
      <w:pPr>
        <w:pStyle w:val="ListParagraph"/>
        <w:numPr>
          <w:ilvl w:val="0"/>
          <w:numId w:val="2"/>
        </w:numPr>
        <w:spacing w:before="60" w:after="60" w:line="260"/>
      </w:pPr>
      <w:r>
        <w:rPr>
          <w:rFonts w:ascii="Arial" w:cs="Arial" w:eastAsia="Arial" w:hAnsi="Arial"/>
          <w:color w:val="1A1A2E"/>
          <w:sz w:val="22"/>
          <w:szCs w:val="22"/>
        </w:rPr>
        <w:t xml:space="preserve">Muñoz-Pinzón et al. (2024). Industria 4.0 en Pymes Colombianas. Revista Politécnica, vol.20, núm.39 — 75,21% con menos del 20% de procesos automatizados.</w:t>
      </w:r>
    </w:p>
    <w:p>
      <w:pPr>
        <w:pStyle w:val="ListParagraph"/>
        <w:numPr>
          <w:ilvl w:val="0"/>
          <w:numId w:val="2"/>
        </w:numPr>
        <w:spacing w:before="60" w:after="60" w:line="260"/>
      </w:pPr>
      <w:r>
        <w:rPr>
          <w:rFonts w:ascii="Arial" w:cs="Arial" w:eastAsia="Arial" w:hAnsi="Arial"/>
          <w:color w:val="1A1A2E"/>
          <w:sz w:val="22"/>
          <w:szCs w:val="22"/>
        </w:rPr>
        <w:t xml:space="preserve">McKinsey &amp; Company (2024). The State of AI in 2024. mckinsey.com — Adopción IA generativa creció 72% desde 2022.</w:t>
      </w:r>
    </w:p>
    <w:p>
      <w:pPr>
        <w:pStyle w:val="ListParagraph"/>
        <w:numPr>
          <w:ilvl w:val="0"/>
          <w:numId w:val="2"/>
        </w:numPr>
        <w:spacing w:before="60" w:after="60" w:line="260"/>
      </w:pPr>
      <w:r>
        <w:rPr>
          <w:rFonts w:ascii="Arial" w:cs="Arial" w:eastAsia="Arial" w:hAnsi="Arial"/>
          <w:color w:val="1A1A2E"/>
          <w:sz w:val="22"/>
          <w:szCs w:val="22"/>
        </w:rPr>
        <w:t xml:space="preserve">Chatfuel / Cooby (2024). 34 estadísticas de WhatsApp Business 2024. chatfuel.com — +500% leads, 28% tasa conversión.</w:t>
      </w:r>
    </w:p>
    <w:p>
      <w:pPr>
        <w:spacing w:before="80" w:after="0"/>
      </w:pPr>
      <w:r>
        <w:t xml:space="preserve"/>
      </w:r>
    </w:p>
    <w:p>
      <w:pPr>
        <w:pStyle w:val="Heading2"/>
        <w:spacing w:before="280" w:after="120"/>
      </w:pPr>
      <w:r>
        <w:rPr>
          <w:rFonts w:ascii="Arial" w:cs="Arial" w:eastAsia="Arial" w:hAnsi="Arial"/>
          <w:b/>
          <w:bCs/>
          <w:color w:val="2E75B6"/>
          <w:sz w:val="26"/>
          <w:szCs w:val="26"/>
        </w:rPr>
        <w:t xml:space="preserve">Infraestructura y Costos Cloud</w:t>
      </w:r>
    </w:p>
    <w:p>
      <w:pPr>
        <w:pStyle w:val="ListParagraph"/>
        <w:numPr>
          <w:ilvl w:val="0"/>
          <w:numId w:val="2"/>
        </w:numPr>
        <w:spacing w:before="60" w:after="60" w:line="260"/>
      </w:pPr>
      <w:r>
        <w:rPr>
          <w:rFonts w:ascii="Arial" w:cs="Arial" w:eastAsia="Arial" w:hAnsi="Arial"/>
          <w:color w:val="1A1A2E"/>
          <w:sz w:val="22"/>
          <w:szCs w:val="22"/>
        </w:rPr>
        <w:t xml:space="preserve">Bytebase.com (Enero 2026). Supabase vs AWS: Feature and Pricing Comparison 2026. bytebase.com — A 100K MAUs: Supabase ~$630/mes vs AWS ~$3.180/mes.</w:t>
      </w:r>
    </w:p>
    <w:p>
      <w:pPr>
        <w:pStyle w:val="ListParagraph"/>
        <w:numPr>
          <w:ilvl w:val="0"/>
          <w:numId w:val="2"/>
        </w:numPr>
        <w:spacing w:before="60" w:after="60" w:line="260"/>
      </w:pPr>
      <w:r>
        <w:rPr>
          <w:rFonts w:ascii="Arial" w:cs="Arial" w:eastAsia="Arial" w:hAnsi="Arial"/>
          <w:color w:val="1A1A2E"/>
          <w:sz w:val="22"/>
          <w:szCs w:val="22"/>
        </w:rPr>
        <w:t xml:space="preserve">Railway.com (2026). Pricing &amp; Fees. railway.com/pricing — Pay-as-you-go.</w:t>
      </w:r>
    </w:p>
    <w:p>
      <w:pPr>
        <w:pStyle w:val="ListParagraph"/>
        <w:numPr>
          <w:ilvl w:val="0"/>
          <w:numId w:val="2"/>
        </w:numPr>
        <w:spacing w:before="60" w:after="60" w:line="260"/>
      </w:pPr>
      <w:r>
        <w:rPr>
          <w:rFonts w:ascii="Arial" w:cs="Arial" w:eastAsia="Arial" w:hAnsi="Arial"/>
          <w:color w:val="1A1A2E"/>
          <w:sz w:val="22"/>
          <w:szCs w:val="22"/>
        </w:rPr>
        <w:t xml:space="preserve">Adratechsystems.com (Febrero 2026). Mejores Plataformas de Chatbot para WhatsApp Business 2026. adratechsystems.com — WATI desde USD $49, Respond.io desde USD $79.</w:t>
      </w:r>
    </w:p>
    <w:p>
      <w:pPr>
        <w:spacing w:before="160" w:after="0"/>
      </w:pPr>
      <w:r>
        <w:t xml:space="preserve"/>
      </w:r>
    </w:p>
    <w:p>
      <w:pPr>
        <w:pBdr>
          <w:top w:val="single" w:color="2E75B6" w:sz="4" w:space="6"/>
        </w:pBdr>
        <w:spacing w:before="200" w:after="80"/>
        <w:jc w:val="center"/>
      </w:pPr>
      <w:r>
        <w:rPr>
          <w:rFonts w:ascii="Arial" w:cs="Arial" w:eastAsia="Arial" w:hAnsi="Arial"/>
          <w:i/>
          <w:iCs/>
          <w:color w:val="555555"/>
          <w:sz w:val="18"/>
          <w:szCs w:val="18"/>
        </w:rPr>
        <w:t xml:space="preserve">Automatiza360 — Plan de Negocios — Versión 1.1 — Marzo 2026 — Confidencial</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100"/>
    </w:pPr>
    <w:r>
      <w:rPr>
        <w:rFonts w:ascii="Arial" w:cs="Arial" w:eastAsia="Arial" w:hAnsi="Arial"/>
        <w:color w:val="555555"/>
        <w:sz w:val="18"/>
        <w:szCs w:val="18"/>
      </w:rPr>
      <w:t xml:space="preserve">automatiza360.com  |  Cali, Colombia  |  admin@automatiza360.com</w:t>
    </w:r>
    <w:r>
      <w:rPr>
        <w:rFonts w:ascii="Arial" w:cs="Arial" w:eastAsia="Arial" w:hAnsi="Arial"/>
        <w:sz w:val="18"/>
        <w:szCs w:val="18"/>
      </w:rPr>
      <w:t xml:space="preserve">	</w:t>
    </w:r>
    <w:r>
      <w:rPr>
        <w:rFonts w:ascii="Arial" w:cs="Arial" w:eastAsia="Arial" w:hAnsi="Arial"/>
        <w:color w:val="555555"/>
        <w:sz w:val="18"/>
        <w:szCs w:val="18"/>
      </w:rPr>
      <w:t xml:space="preserve">Página </w:t>
    </w:r>
    <w:fldSimple w:instr=" PAGE \* MERGEFORMAT ">
      <w:r>
        <w:rPr>
          <w:rFonts w:ascii="Arial" w:cs="Arial" w:eastAsia="Arial" w:hAnsi="Arial"/>
          <w:color w:val="555555"/>
          <w:sz w:val="18"/>
          <w:szCs w:val="18"/>
        </w:rPr>
        <w:t>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00"/>
    </w:pPr>
    <w:r>
      <w:rPr>
        <w:rFonts w:ascii="Arial" w:cs="Arial" w:eastAsia="Arial" w:hAnsi="Arial"/>
        <w:b/>
        <w:bCs/>
        <w:color w:val="1B3F8B"/>
        <w:sz w:val="18"/>
        <w:szCs w:val="18"/>
      </w:rPr>
      <w:t xml:space="preserve">AUTOMATIZA360  |  Plan de Negocios 2026</w:t>
    </w:r>
    <w:r>
      <w:rPr>
        <w:rFonts w:ascii="Arial" w:cs="Arial" w:eastAsia="Arial" w:hAnsi="Arial"/>
        <w:sz w:val="18"/>
        <w:szCs w:val="18"/>
      </w:rPr>
      <w:t xml:space="preserve">	</w:t>
    </w:r>
    <w:r>
      <w:rPr>
        <w:rFonts w:ascii="Arial" w:cs="Arial" w:eastAsia="Arial" w:hAnsi="Arial"/>
        <w:i/>
        <w:iCs/>
        <w:color w:val="555555"/>
        <w:sz w:val="18"/>
        <w:szCs w:val="18"/>
      </w:rPr>
      <w:t xml:space="preserve">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F8B"/>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2026-03-19T03:23:21.633Z</dcterms:created>
  <dcterms:modified xsi:type="dcterms:W3CDTF">2026-03-19T03:23:21.634Z</dcterms:modified>
</cp:coreProperties>
</file>

<file path=docProps/custom.xml><?xml version="1.0" encoding="utf-8"?>
<Properties xmlns="http://schemas.openxmlformats.org/officeDocument/2006/custom-properties" xmlns:vt="http://schemas.openxmlformats.org/officeDocument/2006/docPropsVTypes"/>
</file>