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C2410C"/>
          <w:spacing w:val="60"/>
          <w:sz w:val="20"/>
          <w:szCs w:val="20"/>
        </w:rPr>
        <w:t xml:space="preserve">MATNEXA</w:t>
      </w:r>
    </w:p>
    <w:p>
      <w:pPr>
        <w:spacing w:after="40"/>
        <w:jc w:val="left"/>
      </w:pPr>
      <w:r>
        <w:rPr>
          <w:rFonts w:ascii="Calibri" w:cs="Calibri" w:eastAsia="Calibri" w:hAnsi="Calibri"/>
          <w:b/>
          <w:bCs/>
          <w:color w:val="16191D"/>
          <w:sz w:val="40"/>
          <w:szCs w:val="40"/>
        </w:rPr>
        <w:t xml:space="preserve">Accord de traitement des données personnelles</w:t>
      </w:r>
    </w:p>
    <w:p>
      <w:pPr>
        <w:spacing w:after="200"/>
        <w:jc w:val="left"/>
      </w:pPr>
      <w:r>
        <w:rPr>
          <w:rFonts w:ascii="Calibri" w:cs="Calibri" w:eastAsia="Calibri" w:hAnsi="Calibri"/>
          <w:color w:val="5A6068"/>
          <w:sz w:val="22"/>
          <w:szCs w:val="22"/>
        </w:rPr>
        <w:t xml:space="preserve">Sous-traitance au sens de l'article 28 du RGPD — annexe 1 du contrat de prestation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2410C" w:sz="8"/>
              <w:left w:val="single" w:color="BFC3C8" w:sz="4"/>
              <w:bottom w:val="single" w:color="BFC3C8" w:sz="4"/>
              <w:right w:val="single" w:color="BFC3C8" w:sz="4"/>
            </w:tcBorders>
            <w:shd w:fill="FFF4E8" w:color="auto" w:val="clear"/>
            <w:tcMar>
              <w:top w:type="dxa" w:w="100"/>
              <w:left w:type="dxa" w:w="160"/>
              <w:bottom w:type="dxa" w:w="100"/>
              <w:right w:type="dxa" w:w="160"/>
            </w:tcMar>
          </w:tcPr>
          <w:p>
            <w:pPr>
              <w:spacing w:after="60"/>
            </w:pPr>
            <w:r>
              <w:rPr>
                <w:rFonts w:ascii="Calibri" w:cs="Calibri" w:eastAsia="Calibri" w:hAnsi="Calibri"/>
                <w:b/>
                <w:bCs/>
                <w:color w:val="C2410C"/>
                <w:sz w:val="18"/>
                <w:szCs w:val="18"/>
              </w:rPr>
              <w:t xml:space="preserve">MODE D'EMPLOI — À SUPPRIMER AVANT ENVOI</w:t>
            </w:r>
          </w:p>
          <w:p>
            <w:pPr>
              <w:spacing w:after="40"/>
              <w:jc w:val="left"/>
            </w:pPr>
            <w:r>
              <w:rPr>
                <w:rFonts w:ascii="Calibri" w:cs="Calibri" w:eastAsia="Calibri" w:hAnsi="Calibri"/>
                <w:sz w:val="19"/>
                <w:szCs w:val="19"/>
              </w:rPr>
              <w:t xml:space="preserve">1. Remplir les zones </w:t>
            </w:r>
            <w:r>
              <w:rPr>
                <w:rFonts w:ascii="Calibri" w:cs="Calibri" w:eastAsia="Calibri" w:hAnsi="Calibri"/>
                <w:b/>
                <w:bCs/>
                <w:sz w:val="19"/>
                <w:szCs w:val="19"/>
              </w:rPr>
              <w:t xml:space="preserve">jaunes</w:t>
            </w:r>
            <w:r>
              <w:rPr>
                <w:rFonts w:ascii="Calibri" w:cs="Calibri" w:eastAsia="Calibri" w:hAnsi="Calibri"/>
                <w:sz w:val="19"/>
                <w:szCs w:val="19"/>
              </w:rPr>
              <w:t xml:space="preserve"> entre crochets (identité du club, date du contrat de prestation, lieu et date de signature), puis retirer la surbrillance.</w:t>
            </w:r>
          </w:p>
          <w:p>
            <w:pPr>
              <w:spacing w:after="40"/>
              <w:jc w:val="left"/>
            </w:pPr>
            <w:r>
              <w:rPr>
                <w:rFonts w:ascii="Calibri" w:cs="Calibri" w:eastAsia="Calibri" w:hAnsi="Calibri"/>
                <w:sz w:val="19"/>
                <w:szCs w:val="19"/>
              </w:rPr>
              <w:t xml:space="preserve">2. Ne rien modifier d'autre pour un club ordinaire. Toute clause modifiée à la demande d'un club doit être relue par un juriste.</w:t>
            </w:r>
          </w:p>
          <w:p>
            <w:pPr>
              <w:spacing w:after="40"/>
              <w:jc w:val="left"/>
            </w:pPr>
            <w:r>
              <w:rPr>
                <w:rFonts w:ascii="Calibri" w:cs="Calibri" w:eastAsia="Calibri" w:hAnsi="Calibri"/>
                <w:sz w:val="19"/>
                <w:szCs w:val="19"/>
              </w:rPr>
              <w:t xml:space="preserve">3. Supprimer ce cadre, enregistrer sous un nouveau nom et le faire signer </w:t>
            </w:r>
            <w:r>
              <w:rPr>
                <w:rFonts w:ascii="Calibri" w:cs="Calibri" w:eastAsia="Calibri" w:hAnsi="Calibri"/>
                <w:b/>
                <w:bCs/>
                <w:sz w:val="19"/>
                <w:szCs w:val="19"/>
              </w:rPr>
              <w:t xml:space="preserve">avant</w:t>
            </w:r>
            <w:r>
              <w:rPr>
                <w:rFonts w:ascii="Calibri" w:cs="Calibri" w:eastAsia="Calibri" w:hAnsi="Calibri"/>
                <w:sz w:val="19"/>
                <w:szCs w:val="19"/>
              </w:rPr>
              <w:t xml:space="preserve"> que le club saisisse des données réelles.</w:t>
            </w:r>
          </w:p>
          <w:p>
            <w:pPr>
              <w:spacing w:after="40"/>
              <w:jc w:val="left"/>
            </w:pPr>
            <w:r>
              <w:rPr>
                <w:rFonts w:ascii="Calibri" w:cs="Calibri" w:eastAsia="Calibri" w:hAnsi="Calibri"/>
                <w:sz w:val="19"/>
                <w:szCs w:val="19"/>
              </w:rPr>
              <w:t xml:space="preserve">4. Texte rédigé sans relecture juridique, calqué sur les mentions obligatoires de l'article 28 §3. La CNIL publie un guide du sous-traitant et la Commission européenne des clauses types (décision d'exécution (UE) 2021/915) : les consulter est la voie la plus sûre.</w:t>
            </w:r>
          </w:p>
          <w:p>
            <w:pPr>
              <w:spacing w:after="40"/>
              <w:jc w:val="left"/>
            </w:pPr>
            <w:r>
              <w:rPr>
                <w:rFonts w:ascii="Calibri" w:cs="Calibri" w:eastAsia="Calibri" w:hAnsi="Calibri"/>
                <w:sz w:val="19"/>
                <w:szCs w:val="19"/>
              </w:rPr>
              <w:t xml:space="preserve">5. À tenir à jour avec docs/rgpd/ (sous-traitants, conservation, procédures) : régénérer ce modèle avec « npm run docs:contracts » quand ces faits changent.</w:t>
            </w:r>
          </w:p>
        </w:tc>
      </w:tr>
    </w:tbl>
    <w:p>
      <w:pPr>
        <w:spacing w:after="120"/>
      </w:pPr>
    </w:p>
    <w:p>
      <w:pPr>
        <w:keepNext/>
        <w:spacing w:after="80" w:before="160"/>
      </w:pPr>
      <w:r>
        <w:rPr>
          <w:rFonts w:ascii="Calibri" w:cs="Calibri" w:eastAsia="Calibri" w:hAnsi="Calibri"/>
          <w:b/>
          <w:bCs/>
          <w:color w:val="16191D"/>
          <w:sz w:val="22"/>
          <w:szCs w:val="22"/>
        </w:rPr>
        <w:t xml:space="preserve">Entre</w:t>
      </w:r>
    </w:p>
    <w:p>
      <w:pPr>
        <w:keepNext/>
        <w:spacing w:after="60" w:before="0" w:line="264"/>
        <w:jc w:val="both"/>
      </w:pPr>
      <w:r>
        <w:rPr>
          <w:rFonts w:ascii="Calibri" w:cs="Calibri" w:eastAsia="Calibri" w:hAnsi="Calibri"/>
          <w:b/>
          <w:bCs/>
        </w:rPr>
        <w:t xml:space="preserve">Le Club</w:t>
      </w:r>
      <w:r>
        <w:rPr>
          <w:rFonts w:ascii="Calibri" w:cs="Calibri" w:eastAsia="Calibri" w:hAnsi="Calibri"/>
        </w:rPr>
        <w:t xml:space="preserve">, responsable de traitement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Dénomination</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[Nom de l'association ou de la société]</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Forme juridique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[Association loi 1901 / SAS / SARL / autre]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Adresse du siège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complète]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Identifiant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 RNA ou W… pour une association — SIREN pour une société]</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Représenté(e) par</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[Prénom NOM]</w:t>
            </w:r>
            <w:r>
              <w:rPr>
                <w:rFonts w:ascii="Calibri" w:cs="Calibri" w:eastAsia="Calibri" w:hAnsi="Calibri"/>
              </w:rPr>
              <w:t xml:space="preserve">, agissant en qualité de </w:t>
            </w:r>
            <w:r>
              <w:rPr>
                <w:rFonts w:ascii="Calibri" w:cs="Calibri" w:eastAsia="Calibri" w:hAnsi="Calibri"/>
                <w:highlight w:val="yellow"/>
              </w:rPr>
              <w:t xml:space="preserve">[Président(e) / Gérant(e) / autre]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Courriel de contact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e-mail]</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Nom de l'espace dans Matnexa</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[Nom du club tel qu'il apparaît dans l'application]</w:t>
            </w:r>
          </w:p>
        </w:tc>
      </w:tr>
    </w:tbl>
    <w:p>
      <w:pPr>
        <w:spacing w:after="120" w:before="100" w:line="264"/>
        <w:jc w:val="left"/>
      </w:pPr>
      <w:r>
        <w:rPr>
          <w:rFonts w:ascii="Calibri" w:cs="Calibri" w:eastAsia="Calibri" w:hAnsi="Calibri"/>
        </w:rPr>
        <w:t xml:space="preserve">ci-après « le </w:t>
      </w:r>
      <w:r>
        <w:rPr>
          <w:rFonts w:ascii="Calibri" w:cs="Calibri" w:eastAsia="Calibri" w:hAnsi="Calibri"/>
          <w:b/>
          <w:bCs/>
        </w:rPr>
        <w:t xml:space="preserve">Responsable</w:t>
      </w:r>
      <w:r>
        <w:rPr>
          <w:rFonts w:ascii="Calibri" w:cs="Calibri" w:eastAsia="Calibri" w:hAnsi="Calibri"/>
        </w:rPr>
        <w:t xml:space="preserve"> »,</w:t>
      </w:r>
    </w:p>
    <w:p>
      <w:pPr>
        <w:keepNext/>
        <w:spacing w:after="60" w:before="0" w:line="264"/>
        <w:jc w:val="both"/>
      </w:pPr>
      <w:r>
        <w:rPr>
          <w:rFonts w:ascii="Calibri" w:cs="Calibri" w:eastAsia="Calibri" w:hAnsi="Calibri"/>
          <w:b/>
          <w:bCs/>
        </w:rPr>
        <w:t xml:space="preserve">L'Éditeur</w:t>
      </w:r>
      <w:r>
        <w:rPr>
          <w:rFonts w:ascii="Calibri" w:cs="Calibri" w:eastAsia="Calibri" w:hAnsi="Calibri"/>
        </w:rPr>
        <w:t xml:space="preserve">, sous-traitant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Nom</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b/>
                <w:bCs/>
              </w:rPr>
              <w:t xml:space="preserve">Arthur DARON</w:t>
            </w:r>
            <w:r>
              <w:rPr>
                <w:rFonts w:ascii="Calibri" w:cs="Calibri" w:eastAsia="Calibri" w:hAnsi="Calibri"/>
              </w:rPr>
              <w:t xml:space="preserve">, personne physique agissant à titre personnel</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Adresse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[Adresse postale de l'éditeur]</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Immatriculation</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[SIRET, si applicable — sinon supprimer cette ligne]</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Courriel de contact</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contact@matnexa.fr</w:t>
            </w:r>
          </w:p>
        </w:tc>
      </w:tr>
      <w:tr>
        <w:trPr>
          <w:cantSplit/>
          <w:tblHeader w:val="off"/>
        </w:trPr>
        <w:tc>
          <w:tcPr>
            <w:tcW w:type="dxa" w:w="2891"/>
            <w:tcBorders>
              <w:top w:val="single" w:color="BFC3C8" w:sz="4"/>
              <w:left w:val="single" w:color="BFC3C8" w:sz="4"/>
              <w:bottom w:val="single" w:color="BFC3C8" w:sz="4"/>
              <w:right w:val="single" w:color="BFC3C8" w:sz="4"/>
            </w:tcBorders>
            <w:shd w:fill="F4F5F6" w:color="auto" w:val="clear"/>
            <w:tcMar>
              <w:top w:type="dxa" w:w="60"/>
              <w:left w:type="dxa" w:w="100"/>
              <w:bottom w:type="dxa" w:w="60"/>
              <w:right w:type="dxa" w:w="100"/>
            </w:tcMar>
          </w:tcPr>
          <w:p>
            <w:pPr>
              <w:spacing w:after="20"/>
              <w:jc w:val="left"/>
            </w:pPr>
            <w:r>
              <w:rPr>
                <w:rFonts w:ascii="Calibri" w:cs="Calibri" w:eastAsia="Calibri" w:hAnsi="Calibri"/>
              </w:rPr>
              <w:t xml:space="preserve">Service</w:t>
            </w:r>
          </w:p>
        </w:tc>
        <w:tc>
          <w:tcPr>
            <w:tcW w:type="dxa" w:w="6747"/>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Matnexa — application app.matnexa.fr et site www.matnexa.fr</w:t>
            </w:r>
          </w:p>
        </w:tc>
      </w:tr>
    </w:tbl>
    <w:p>
      <w:pPr>
        <w:spacing w:after="120" w:before="100" w:line="264"/>
        <w:jc w:val="left"/>
      </w:pPr>
      <w:r>
        <w:rPr>
          <w:rFonts w:ascii="Calibri" w:cs="Calibri" w:eastAsia="Calibri" w:hAnsi="Calibri"/>
        </w:rPr>
        <w:t xml:space="preserve">ci-après « le </w:t>
      </w:r>
      <w:r>
        <w:rPr>
          <w:rFonts w:ascii="Calibri" w:cs="Calibri" w:eastAsia="Calibri" w:hAnsi="Calibri"/>
          <w:b/>
          <w:bCs/>
        </w:rPr>
        <w:t xml:space="preserve">Sous-traitant</w:t>
      </w:r>
      <w:r>
        <w:rPr>
          <w:rFonts w:ascii="Calibri" w:cs="Calibri" w:eastAsia="Calibri" w:hAnsi="Calibri"/>
        </w:rPr>
        <w:t xml:space="preserve"> ».</w:t>
      </w:r>
    </w:p>
    <w:p>
      <w:pPr>
        <w:spacing w:after="100" w:before="0" w:line="264"/>
        <w:jc w:val="both"/>
      </w:pPr>
      <w:r>
        <w:rPr>
          <w:rFonts w:ascii="Calibri" w:cs="Calibri" w:eastAsia="Calibri" w:hAnsi="Calibri"/>
        </w:rPr>
        <w:t xml:space="preserve">Le présent accord complète le contrat de prestation conclu le </w:t>
      </w:r>
      <w:r>
        <w:rPr>
          <w:rFonts w:ascii="Calibri" w:cs="Calibri" w:eastAsia="Calibri" w:hAnsi="Calibri"/>
          <w:highlight w:val="yellow"/>
        </w:rPr>
        <w:t xml:space="preserve">[jj/mm/aaaa]</w:t>
      </w:r>
      <w:r>
        <w:rPr>
          <w:rFonts w:ascii="Calibri" w:cs="Calibri" w:eastAsia="Calibri" w:hAnsi="Calibri"/>
        </w:rPr>
        <w:t xml:space="preserve"> entre les Parties. Il s'applique dès la première saisie de données personnelles dans le Service.</w:t>
      </w:r>
    </w:p>
    <w:p>
      <w:pPr>
        <w:keepNext/>
        <w:spacing w:after="100" w:before="240"/>
      </w:pPr>
      <w:r>
        <w:rPr>
          <w:rFonts w:ascii="Calibri" w:cs="Calibri" w:eastAsia="Calibri" w:hAnsi="Calibri"/>
          <w:b/>
          <w:bCs/>
          <w:color w:val="C2410C"/>
          <w:sz w:val="24"/>
          <w:szCs w:val="24"/>
        </w:rPr>
        <w:t xml:space="preserve">Article 1 — Objet et durée</w:t>
      </w:r>
    </w:p>
    <w:p>
      <w:pPr>
        <w:spacing w:after="100" w:before="0" w:line="264"/>
        <w:jc w:val="both"/>
      </w:pPr>
      <w:r>
        <w:rPr>
          <w:rFonts w:ascii="Calibri" w:cs="Calibri" w:eastAsia="Calibri" w:hAnsi="Calibri"/>
        </w:rPr>
        <w:t xml:space="preserve">Le Sous-traitant traite des données personnelles pour le compte du Responsable, dans le cadre du service Matnexa (gestion des membres, des cours, des réservations et des présences). L'accord court pendant toute la durée d'utilisation du Service et prend fin à la suppression du Club dans Matnexa ou à la résiliation, selon l'article 10.</w:t>
      </w:r>
    </w:p>
    <w:p>
      <w:pPr>
        <w:keepNext/>
        <w:spacing w:after="100" w:before="240"/>
      </w:pPr>
      <w:r>
        <w:rPr>
          <w:rFonts w:ascii="Calibri" w:cs="Calibri" w:eastAsia="Calibri" w:hAnsi="Calibri"/>
          <w:b/>
          <w:bCs/>
          <w:color w:val="C2410C"/>
          <w:sz w:val="24"/>
          <w:szCs w:val="24"/>
        </w:rPr>
        <w:t xml:space="preserve">Article 2 — Description du traitement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Élément</w:t>
            </w:r>
          </w:p>
        </w:tc>
        <w:tc>
          <w:tcPr>
            <w:tcW w:type="dxa" w:w="7132"/>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Contenu</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Nature et finalités</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Gestion des adhérents ; organisation des cours, réservations et liste d'attente ; suivi des présences (y compris par QR code) ; suivi des grades ; classement des venues sur consentement des membres ; envoi d'e-mails et de notifications de service ; exports à la demande du Responsable</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Catégories de personnes</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Membres du Club, majeurs ou mineurs ; responsables légaux des mineurs ; encadrants (propriétaire, administrateurs, coachs)</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Catégories de données</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Identité (prénom, nom) ; contact (e-mail, téléphone) ; date d'inscription ; identifiant interne facultatif ; ceinture, barrettes et historique des passages de grade ; silhouette d'avatar ; photo facultative ; attestation de majorité ; pour les mineurs : date de naissance et responsable légal (nom, e-mail, téléphone) avec son accord ; réservations ; présences ; consentement au classement</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Données exclues</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Le Responsable s'engage à ne pas saisir de données de santé, biométriques, de géolocalisation, d'opinions ou de condamnations. Seule exception : la raison d'une pause déclarée par l'adhérent (« blessure » ou « maladie », catégorie seule, sans détail), avec son consentement explicite, jamais pour un mineur, effacée 30 jours après la reprise</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Durées de conservation</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Fiche archivée : anonymisée à l'issue du délai choisi par le Responsable (24 mois par défaut, réglable de 6 à 120 mois). Date de naissance et responsable légal d'un mineur : effacés à sa majorité. Présences conservées sans identité après anonymisation</w:t>
            </w:r>
          </w:p>
        </w:tc>
      </w:tr>
    </w:tbl>
    <w:p>
      <w:pPr>
        <w:keepNext/>
        <w:spacing w:after="100" w:before="240"/>
      </w:pPr>
      <w:r>
        <w:rPr>
          <w:rFonts w:ascii="Calibri" w:cs="Calibri" w:eastAsia="Calibri" w:hAnsi="Calibri"/>
          <w:b/>
          <w:bCs/>
          <w:color w:val="C2410C"/>
          <w:sz w:val="24"/>
          <w:szCs w:val="24"/>
        </w:rPr>
        <w:t xml:space="preserve">Article 3 — Instructions documentées (art. 28 §3 a)</w:t>
      </w:r>
    </w:p>
    <w:p>
      <w:pPr>
        <w:spacing w:after="100" w:before="0" w:line="264"/>
        <w:jc w:val="both"/>
      </w:pPr>
      <w:r>
        <w:rPr>
          <w:rFonts w:ascii="Calibri" w:cs="Calibri" w:eastAsia="Calibri" w:hAnsi="Calibri"/>
        </w:rPr>
        <w:t xml:space="preserve">Le Sous-traitant ne traite les données que sur instruction documentée du Responsable ; l'utilisation du Service par le Responsable et son équipe (création, modification, export, archivage, effacement) vaut instruction. Il informe immédiatement le Responsable s'il estime qu'une instruction enfreint le RGPD. Il ne transfère les données hors de l'Union européenne que dans les conditions de l'article 6.</w:t>
      </w:r>
    </w:p>
    <w:p>
      <w:pPr>
        <w:keepNext/>
        <w:spacing w:after="100" w:before="240"/>
      </w:pPr>
      <w:r>
        <w:rPr>
          <w:rFonts w:ascii="Calibri" w:cs="Calibri" w:eastAsia="Calibri" w:hAnsi="Calibri"/>
          <w:b/>
          <w:bCs/>
          <w:color w:val="C2410C"/>
          <w:sz w:val="24"/>
          <w:szCs w:val="24"/>
        </w:rPr>
        <w:t xml:space="preserve">Article 4 — Confidentialité (art. 28 §3 b)</w:t>
      </w:r>
    </w:p>
    <w:p>
      <w:pPr>
        <w:spacing w:after="100" w:before="0" w:line="264"/>
        <w:jc w:val="both"/>
      </w:pPr>
      <w:r>
        <w:rPr>
          <w:rFonts w:ascii="Calibri" w:cs="Calibri" w:eastAsia="Calibri" w:hAnsi="Calibri"/>
        </w:rPr>
        <w:t xml:space="preserve">L'accès technique aux données chez le Sous-traitant est réservé à l'Éditeur lui-même. Si une autre personne devait y avoir accès, elle serait tenue par écrit à la confidentialité et le Responsable en serait informé. Le Sous-traitant n'accède pas aux données d'un club hors des besoins de maintenance, de sécurité, d'assistance ou d'une demande du Responsable. La console d'administration de l'Éditeur ne présente que des compteurs agrégés par club, sans le contenu des fiches.</w:t>
      </w:r>
    </w:p>
    <w:p>
      <w:pPr>
        <w:keepNext/>
        <w:spacing w:after="100" w:before="240"/>
      </w:pPr>
      <w:r>
        <w:rPr>
          <w:rFonts w:ascii="Calibri" w:cs="Calibri" w:eastAsia="Calibri" w:hAnsi="Calibri"/>
          <w:b/>
          <w:bCs/>
          <w:color w:val="C2410C"/>
          <w:sz w:val="24"/>
          <w:szCs w:val="24"/>
        </w:rPr>
        <w:t xml:space="preserve">Article 5 — Sécurité (art. 28 §3 c et art. 32)</w:t>
      </w:r>
    </w:p>
    <w:p>
      <w:pPr>
        <w:spacing w:after="100" w:before="0" w:line="264"/>
        <w:jc w:val="both"/>
      </w:pPr>
      <w:r>
        <w:rPr>
          <w:rFonts w:ascii="Calibri" w:cs="Calibri" w:eastAsia="Calibri" w:hAnsi="Calibri"/>
        </w:rPr>
        <w:t xml:space="preserve">Le Sous-traitant met en œuvre les mesures décrites en annexe A, proportionnées aux risques, et les améliore au fil du temps. Il les maintient au moins au niveau décrit pendant toute la durée de l'accord.</w:t>
      </w:r>
    </w:p>
    <w:p>
      <w:pPr>
        <w:keepNext/>
        <w:spacing w:after="100" w:before="240"/>
      </w:pPr>
      <w:r>
        <w:rPr>
          <w:rFonts w:ascii="Calibri" w:cs="Calibri" w:eastAsia="Calibri" w:hAnsi="Calibri"/>
          <w:b/>
          <w:bCs/>
          <w:color w:val="C2410C"/>
          <w:sz w:val="24"/>
          <w:szCs w:val="24"/>
        </w:rPr>
        <w:t xml:space="preserve">Article 6 — Sous-traitants ultérieurs et transferts (art. 28 §2, §3 d et §4)</w:t>
      </w:r>
    </w:p>
    <w:p>
      <w:pPr>
        <w:spacing w:after="100" w:before="0" w:line="264"/>
        <w:jc w:val="both"/>
      </w:pPr>
      <w:r>
        <w:rPr>
          <w:rFonts w:ascii="Calibri" w:cs="Calibri" w:eastAsia="Calibri" w:hAnsi="Calibri"/>
        </w:rPr>
        <w:t xml:space="preserve">Le Responsable donne une autorisation générale pour le recours aux sous-traitants ultérieurs suivants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3662"/>
      </w:tblGrid>
      <w:tr>
        <w:trPr>
          <w:cantSplit/>
          <w:tblHeader/>
        </w:trPr>
        <w:tc>
          <w:tcPr>
            <w:tcW w:type="dxa" w:w="2120"/>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Prestataire</w:t>
            </w:r>
          </w:p>
        </w:tc>
        <w:tc>
          <w:tcPr>
            <w:tcW w:type="dxa" w:w="3855"/>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Prestation</w:t>
            </w:r>
          </w:p>
        </w:tc>
        <w:tc>
          <w:tcPr>
            <w:tcW w:type="dxa" w:w="3662"/>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Localisation des données</w:t>
            </w:r>
          </w:p>
        </w:tc>
      </w:tr>
      <w:tr>
        <w:trPr>
          <w:cantSplit/>
          <w:tblHeader w:val="off"/>
        </w:trPr>
        <w:tc>
          <w:tcPr>
            <w:tcW w:type="dxa" w:w="2120"/>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OVHcloud</w:t>
            </w:r>
          </w:p>
        </w:tc>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Hébergement du serveur et de la base de données</w:t>
            </w:r>
          </w:p>
        </w:tc>
        <w:tc>
          <w:tcPr>
            <w:tcW w:type="dxa" w:w="366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France (Gravelines)</w:t>
            </w:r>
          </w:p>
        </w:tc>
      </w:tr>
      <w:tr>
        <w:trPr>
          <w:cantSplit/>
          <w:tblHeader w:val="off"/>
        </w:trPr>
        <w:tc>
          <w:tcPr>
            <w:tcW w:type="dxa" w:w="2120"/>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OVHcloud</w:t>
            </w:r>
          </w:p>
        </w:tc>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Sauvegarde automatique quotidienne du serveur, conservée 7 jours</w:t>
            </w:r>
          </w:p>
        </w:tc>
        <w:tc>
          <w:tcPr>
            <w:tcW w:type="dxa" w:w="366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[À vérifier dans l'espace client OVHcloud — ex. France]</w:t>
            </w:r>
          </w:p>
        </w:tc>
      </w:tr>
      <w:tr>
        <w:trPr>
          <w:cantSplit/>
          <w:tblHeader w:val="off"/>
        </w:trPr>
        <w:tc>
          <w:tcPr>
            <w:tcW w:type="dxa" w:w="2120"/>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Resend</w:t>
            </w:r>
          </w:p>
        </w:tc>
        <w:tc>
          <w:tcPr>
            <w:tcW w:type="dxa" w:w="3855"/>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Envoi des e-mails de service (connexion, rappels, notifications)</w:t>
            </w:r>
          </w:p>
        </w:tc>
        <w:tc>
          <w:tcPr>
            <w:tcW w:type="dxa" w:w="366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Envoi depuis l'Irlande. Métadonnées et journaux stockés aux États-Unis, encadrés par les clauses contractuelles types de son accord de traitement et sa certification Data Privacy Framework</w:t>
            </w:r>
          </w:p>
        </w:tc>
      </w:tr>
    </w:tbl>
    <w:p>
      <w:pPr>
        <w:spacing w:after="120"/>
      </w:pPr>
    </w:p>
    <w:p>
      <w:pPr>
        <w:spacing w:after="100" w:before="0" w:line="264"/>
        <w:jc w:val="both"/>
      </w:pPr>
      <w:r>
        <w:rPr>
          <w:rFonts w:ascii="Calibri" w:cs="Calibri" w:eastAsia="Calibri" w:hAnsi="Calibri"/>
        </w:rPr>
        <w:t xml:space="preserve">Les notifications push, que chaque utilisateur active volontairement, transitent par le service de notification de son navigateur (Google, Apple, Mozilla ou Microsoft) : le message est chiffré de bout en bout et seule l'adresse technique de l'appareil est visible. Ces services sont des intermédiaires imposés par le standard Web Push et n'ont pas été choisis par le Sous-traitant.</w:t>
      </w:r>
    </w:p>
    <w:p>
      <w:pPr>
        <w:spacing w:after="100" w:before="0" w:line="264"/>
        <w:jc w:val="both"/>
      </w:pPr>
      <w:r>
        <w:rPr>
          <w:rFonts w:ascii="Calibri" w:cs="Calibri" w:eastAsia="Calibri" w:hAnsi="Calibri"/>
        </w:rPr>
        <w:t xml:space="preserve">Le Sous-traitant informe le Responsable de tout ajout ou remplacement de sous-traitant ultérieur </w:t>
      </w:r>
      <w:r>
        <w:rPr>
          <w:rFonts w:ascii="Calibri" w:cs="Calibri" w:eastAsia="Calibri" w:hAnsi="Calibri"/>
          <w:b/>
          <w:bCs/>
        </w:rPr>
        <w:t xml:space="preserve">30 jours</w:t>
      </w:r>
      <w:r>
        <w:rPr>
          <w:rFonts w:ascii="Calibri" w:cs="Calibri" w:eastAsia="Calibri" w:hAnsi="Calibri"/>
        </w:rPr>
        <w:t xml:space="preserve"> à l'avance, par courriel. Le Responsable peut s'y opposer par écrit dans ce délai ; à défaut d'accord, il peut résilier sans frais. Le Sous-traitant impose à ses sous-traitants ultérieurs des obligations équivalentes à celles du présent accord et reste responsable à l'égard du Responsable de leur exécution.</w:t>
      </w:r>
    </w:p>
    <w:p>
      <w:pPr>
        <w:keepNext/>
        <w:spacing w:after="100" w:before="240"/>
      </w:pPr>
      <w:r>
        <w:rPr>
          <w:rFonts w:ascii="Calibri" w:cs="Calibri" w:eastAsia="Calibri" w:hAnsi="Calibri"/>
          <w:b/>
          <w:bCs/>
          <w:color w:val="C2410C"/>
          <w:sz w:val="24"/>
          <w:szCs w:val="24"/>
        </w:rPr>
        <w:t xml:space="preserve">Article 7 — Droits des personnes (art. 28 §3 e)</w:t>
      </w:r>
    </w:p>
    <w:p>
      <w:pPr>
        <w:spacing w:after="100" w:before="0" w:line="264"/>
        <w:jc w:val="both"/>
      </w:pPr>
      <w:r>
        <w:rPr>
          <w:rFonts w:ascii="Calibri" w:cs="Calibri" w:eastAsia="Calibri" w:hAnsi="Calibri"/>
        </w:rPr>
        <w:t xml:space="preserve">Le Service fournit au Responsable les outils d'export, de rectification, d'archivage, d'anonymisation et d'effacement des données d'une personne. Chaque utilisateur peut aussi télécharger ses données et supprimer son compte depuis son espace. Le Sous-traitant transmet au Responsable, sans délai, toute demande reçue directement d'une personne concernée par une fiche du Club, et l'aide à y répondre dans le délai d'un mois.</w:t>
      </w:r>
    </w:p>
    <w:p>
      <w:pPr>
        <w:keepNext/>
        <w:spacing w:after="100" w:before="240"/>
      </w:pPr>
      <w:r>
        <w:rPr>
          <w:rFonts w:ascii="Calibri" w:cs="Calibri" w:eastAsia="Calibri" w:hAnsi="Calibri"/>
          <w:b/>
          <w:bCs/>
          <w:color w:val="C2410C"/>
          <w:sz w:val="24"/>
          <w:szCs w:val="24"/>
        </w:rPr>
        <w:t xml:space="preserve">Article 8 — Assistance et violations de données (art. 28 §3 f)</w:t>
      </w:r>
    </w:p>
    <w:p>
      <w:pPr>
        <w:spacing w:after="100" w:before="0" w:line="264"/>
        <w:jc w:val="both"/>
      </w:pPr>
      <w:r>
        <w:rPr>
          <w:rFonts w:ascii="Calibri" w:cs="Calibri" w:eastAsia="Calibri" w:hAnsi="Calibri"/>
        </w:rPr>
        <w:t xml:space="preserve">Le Sous-traitant aide le Responsable à respecter ses obligations de sécurité, de notification des violations, d'analyse d'impact et de consultation préalable, compte tenu des informations dont il dispose. Il notifie au Responsable toute violation de données personnelles </w:t>
      </w:r>
      <w:r>
        <w:rPr>
          <w:rFonts w:ascii="Calibri" w:cs="Calibri" w:eastAsia="Calibri" w:hAnsi="Calibri"/>
          <w:b/>
          <w:bCs/>
        </w:rPr>
        <w:t xml:space="preserve">dans un délai maximal de 48 heures</w:t>
      </w:r>
      <w:r>
        <w:rPr>
          <w:rFonts w:ascii="Calibri" w:cs="Calibri" w:eastAsia="Calibri" w:hAnsi="Calibri"/>
        </w:rPr>
        <w:t xml:space="preserve"> après en avoir pris connaissance, avec les informations de l'article 33 §3 du RGPD alors disponibles (nature, personnes et données concernées, conséquences probables, mesures prises). Il complète ces informations au fur et à mesure.</w:t>
      </w:r>
    </w:p>
    <w:p>
      <w:pPr>
        <w:keepNext/>
        <w:spacing w:after="100" w:before="240"/>
      </w:pPr>
      <w:r>
        <w:rPr>
          <w:rFonts w:ascii="Calibri" w:cs="Calibri" w:eastAsia="Calibri" w:hAnsi="Calibri"/>
          <w:b/>
          <w:bCs/>
          <w:color w:val="C2410C"/>
          <w:sz w:val="24"/>
          <w:szCs w:val="24"/>
        </w:rPr>
        <w:t xml:space="preserve">Article 9 — Audit (art. 28 §3 h)</w:t>
      </w:r>
    </w:p>
    <w:p>
      <w:pPr>
        <w:spacing w:after="100" w:before="0" w:line="264"/>
        <w:jc w:val="both"/>
      </w:pPr>
      <w:r>
        <w:rPr>
          <w:rFonts w:ascii="Calibri" w:cs="Calibri" w:eastAsia="Calibri" w:hAnsi="Calibri"/>
        </w:rPr>
        <w:t xml:space="preserve">Le Sous-traitant met à disposition du Responsable les informations nécessaires pour démontrer le respect du présent accord (descriptif des mesures de sécurité, registre des traitements, procédures, résultats des tests) et permet des audits raisonnables, sur préavis de </w:t>
      </w:r>
      <w:r>
        <w:rPr>
          <w:rFonts w:ascii="Calibri" w:cs="Calibri" w:eastAsia="Calibri" w:hAnsi="Calibri"/>
          <w:b/>
          <w:bCs/>
        </w:rPr>
        <w:t xml:space="preserve">30 jours</w:t>
      </w:r>
      <w:r>
        <w:rPr>
          <w:rFonts w:ascii="Calibri" w:cs="Calibri" w:eastAsia="Calibri" w:hAnsi="Calibri"/>
        </w:rPr>
        <w:t xml:space="preserve">, au plus une fois par an sauf violation avérée, aux frais du Responsable sauf manquement constaté.</w:t>
      </w:r>
    </w:p>
    <w:p>
      <w:pPr>
        <w:keepNext/>
        <w:spacing w:after="100" w:before="240"/>
      </w:pPr>
      <w:r>
        <w:rPr>
          <w:rFonts w:ascii="Calibri" w:cs="Calibri" w:eastAsia="Calibri" w:hAnsi="Calibri"/>
          <w:b/>
          <w:bCs/>
          <w:color w:val="C2410C"/>
          <w:sz w:val="24"/>
          <w:szCs w:val="24"/>
        </w:rPr>
        <w:t xml:space="preserve">Article 10 — Fin de l'accord et restitution (art. 28 §3 g)</w:t>
      </w:r>
    </w:p>
    <w:p>
      <w:pPr>
        <w:spacing w:after="100" w:before="0" w:line="264"/>
        <w:jc w:val="both"/>
      </w:pPr>
      <w:r>
        <w:rPr>
          <w:rFonts w:ascii="Calibri" w:cs="Calibri" w:eastAsia="Calibri" w:hAnsi="Calibri"/>
        </w:rPr>
        <w:t xml:space="preserve">Au choix du Responsable, à la fin du contrat : export de ses données (formats CSV et JSON fournis par le Service) puis suppression du Club et de toutes ses données, ou suppression directe. La suppression dans la base est immédiate ; les copies présentes dans les sauvegardes disparaissent à l'expiration de celles-ci, </w:t>
      </w:r>
      <w:r>
        <w:rPr>
          <w:rFonts w:ascii="Calibri" w:cs="Calibri" w:eastAsia="Calibri" w:hAnsi="Calibri"/>
          <w:b/>
          <w:bCs/>
        </w:rPr>
        <w:t xml:space="preserve">au plus tard 7 jours</w:t>
      </w:r>
      <w:r>
        <w:rPr>
          <w:rFonts w:ascii="Calibri" w:cs="Calibri" w:eastAsia="Calibri" w:hAnsi="Calibri"/>
        </w:rPr>
        <w:t xml:space="preserve"> après l'effacement. Le Sous-traitant le confirme par écrit sur demande.</w:t>
      </w:r>
    </w:p>
    <w:p>
      <w:pPr>
        <w:keepNext/>
        <w:spacing w:after="100" w:before="240"/>
      </w:pPr>
      <w:r>
        <w:rPr>
          <w:rFonts w:ascii="Calibri" w:cs="Calibri" w:eastAsia="Calibri" w:hAnsi="Calibri"/>
          <w:b/>
          <w:bCs/>
          <w:color w:val="C2410C"/>
          <w:sz w:val="24"/>
          <w:szCs w:val="24"/>
        </w:rPr>
        <w:t xml:space="preserve">Article 11 — Obligations du Responsable</w:t>
      </w:r>
    </w:p>
    <w:p>
      <w:pPr>
        <w:spacing w:after="100" w:before="0" w:line="264"/>
        <w:jc w:val="both"/>
      </w:pPr>
      <w:r>
        <w:rPr>
          <w:rFonts w:ascii="Calibri" w:cs="Calibri" w:eastAsia="Calibri" w:hAnsi="Calibri"/>
        </w:rPr>
        <w:t xml:space="preserve">Le Responsable détermine les finalités et les moyens du traitement. Il lui appartient notamment de : disposer d'une base légale pour chaque traitement ; informer les personnes concernées (une notice modèle est fournie) ; recueillir l'accord du responsable légal pour les mineurs ; tenir son propre registre des traitements ; décider des durées de conservation dans les limites proposées par le Service ; réserver les rôles d'administrateur et de coach à des personnes de confiance.</w:t>
      </w:r>
    </w:p>
    <w:p>
      <w:pPr>
        <w:keepNext/>
        <w:spacing w:after="100" w:before="240"/>
      </w:pPr>
      <w:r>
        <w:rPr>
          <w:rFonts w:ascii="Calibri" w:cs="Calibri" w:eastAsia="Calibri" w:hAnsi="Calibri"/>
          <w:b/>
          <w:bCs/>
          <w:color w:val="C2410C"/>
          <w:sz w:val="24"/>
          <w:szCs w:val="24"/>
        </w:rPr>
        <w:t xml:space="preserve">Article 12 — Responsabilités</w:t>
      </w:r>
    </w:p>
    <w:p>
      <w:pPr>
        <w:spacing w:after="100" w:before="0" w:line="264"/>
        <w:jc w:val="both"/>
      </w:pPr>
      <w:r>
        <w:rPr>
          <w:rFonts w:ascii="Calibri" w:cs="Calibri" w:eastAsia="Calibri" w:hAnsi="Calibri"/>
        </w:rPr>
        <w:t xml:space="preserve">Chaque Partie répond de ses manquements dans les conditions de l'article 82 du RGPD. Les limitations de responsabilité du contrat de prestation s'appliquent dans la mesure permise par la loi.</w:t>
      </w:r>
    </w:p>
    <w:p>
      <w:pPr>
        <w:keepNext/>
        <w:spacing w:after="100" w:before="240"/>
      </w:pPr>
      <w:r>
        <w:rPr>
          <w:rFonts w:ascii="Calibri" w:cs="Calibri" w:eastAsia="Calibri" w:hAnsi="Calibri"/>
          <w:b/>
          <w:bCs/>
          <w:color w:val="C2410C"/>
          <w:sz w:val="24"/>
          <w:szCs w:val="24"/>
        </w:rPr>
        <w:t xml:space="preserve">Article 13 — Droit applicable</w:t>
      </w:r>
    </w:p>
    <w:p>
      <w:pPr>
        <w:spacing w:after="100" w:before="0" w:line="264"/>
        <w:jc w:val="both"/>
      </w:pPr>
      <w:r>
        <w:rPr>
          <w:rFonts w:ascii="Calibri" w:cs="Calibri" w:eastAsia="Calibri" w:hAnsi="Calibri"/>
        </w:rPr>
        <w:t xml:space="preserve">Le présent accord est soumis au droit français. Les litiges sont réglés selon l'article 15 du contrat de prestation.</w:t>
      </w:r>
    </w:p>
    <w:p>
      <w:pPr>
        <w:spacing w:after="100" w:before="200" w:line="264"/>
        <w:jc w:val="both"/>
      </w:pPr>
      <w:r>
        <w:rPr>
          <w:rFonts w:ascii="Calibri" w:cs="Calibri" w:eastAsia="Calibri" w:hAnsi="Calibri"/>
        </w:rPr>
        <w:t xml:space="preserve">Fait à </w:t>
      </w:r>
      <w:r>
        <w:rPr>
          <w:rFonts w:ascii="Calibri" w:cs="Calibri" w:eastAsia="Calibri" w:hAnsi="Calibri"/>
          <w:highlight w:val="yellow"/>
        </w:rPr>
        <w:t xml:space="preserve">[lieu]</w:t>
      </w:r>
      <w:r>
        <w:rPr>
          <w:rFonts w:ascii="Calibri" w:cs="Calibri" w:eastAsia="Calibri" w:hAnsi="Calibri"/>
        </w:rPr>
        <w:t xml:space="preserve">, le </w:t>
      </w:r>
      <w:r>
        <w:rPr>
          <w:rFonts w:ascii="Calibri" w:cs="Calibri" w:eastAsia="Calibri" w:hAnsi="Calibri"/>
          <w:highlight w:val="yellow"/>
        </w:rPr>
        <w:t xml:space="preserve">[jj/mm/aaaa]</w:t>
      </w:r>
      <w:r>
        <w:rPr>
          <w:rFonts w:ascii="Calibri" w:cs="Calibri" w:eastAsia="Calibri" w:hAnsi="Calibri"/>
        </w:rPr>
        <w:t xml:space="preserve">, en deux exemplaires originaux (ou par signature électronique).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Pour le Club</w:t>
            </w:r>
          </w:p>
        </w:tc>
        <w:tc>
          <w:tcPr>
            <w:tcW w:type="dxa" w:w="4819"/>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Pour l'Éditeur</w:t>
            </w:r>
          </w:p>
        </w:tc>
      </w:tr>
      <w:tr>
        <w:trPr>
          <w:cantSplit/>
          <w:trHeight w:val="1700" w:hRule="atLeast"/>
        </w:trPr>
        <w:tc>
          <w:tcPr>
            <w:tcW w:type="dxa" w:w="481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highlight w:val="yellow"/>
              </w:rPr>
              <w:t xml:space="preserve">[Prénom NOM, qualité]</w:t>
            </w:r>
          </w:p>
          <w:p>
            <w:pPr>
              <w:spacing w:after="20"/>
              <w:jc w:val="left"/>
            </w:pPr>
            <w:r>
              <w:rPr>
                <w:rFonts w:ascii="Calibri" w:cs="Calibri" w:eastAsia="Calibri" w:hAnsi="Calibri"/>
              </w:rPr>
              <w:t xml:space="preserve">Lu et approuvé, bon pour accord</w:t>
            </w:r>
          </w:p>
          <w:p>
            <w:pPr>
              <w:spacing w:after="20"/>
              <w:jc w:val="left"/>
            </w:pPr>
            <w:r>
              <w:rPr>
                <w:rFonts w:ascii="Calibri" w:cs="Calibri" w:eastAsia="Calibri" w:hAnsi="Calibri"/>
              </w:rPr>
              <w:t xml:space="preserve">Date : </w:t>
            </w:r>
            <w:r>
              <w:rPr>
                <w:rFonts w:ascii="Calibri" w:cs="Calibri" w:eastAsia="Calibri" w:hAnsi="Calibri"/>
                <w:highlight w:val="yellow"/>
              </w:rPr>
              <w:t xml:space="preserve">[jj/mm/aaaa]</w:t>
            </w:r>
          </w:p>
          <w:p>
            <w:pPr>
              <w:spacing w:after="20"/>
              <w:jc w:val="left"/>
            </w:pPr>
            <w:r>
              <w:rPr>
                <w:rFonts w:ascii="Calibri" w:cs="Calibri" w:eastAsia="Calibri" w:hAnsi="Calibri"/>
              </w:rPr>
              <w:t xml:space="preserve">Signature :</w:t>
            </w:r>
          </w:p>
        </w:tc>
        <w:tc>
          <w:tcPr>
            <w:tcW w:type="dxa" w:w="4819"/>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Arthur DARON</w:t>
            </w:r>
          </w:p>
          <w:p>
            <w:pPr>
              <w:spacing w:after="20"/>
              <w:jc w:val="left"/>
            </w:pPr>
            <w:r>
              <w:rPr>
                <w:rFonts w:ascii="Calibri" w:cs="Calibri" w:eastAsia="Calibri" w:hAnsi="Calibri"/>
              </w:rPr>
              <w:t xml:space="preserve">Lu et approuvé, bon pour accord</w:t>
            </w:r>
          </w:p>
          <w:p>
            <w:pPr>
              <w:spacing w:after="20"/>
              <w:jc w:val="left"/>
            </w:pPr>
            <w:r>
              <w:rPr>
                <w:rFonts w:ascii="Calibri" w:cs="Calibri" w:eastAsia="Calibri" w:hAnsi="Calibri"/>
              </w:rPr>
              <w:t xml:space="preserve">Date : </w:t>
            </w:r>
            <w:r>
              <w:rPr>
                <w:rFonts w:ascii="Calibri" w:cs="Calibri" w:eastAsia="Calibri" w:hAnsi="Calibri"/>
                <w:highlight w:val="yellow"/>
              </w:rPr>
              <w:t xml:space="preserve">[jj/mm/aaaa]</w:t>
            </w:r>
          </w:p>
          <w:p>
            <w:pPr>
              <w:spacing w:after="20"/>
              <w:jc w:val="left"/>
            </w:pPr>
            <w:r>
              <w:rPr>
                <w:rFonts w:ascii="Calibri" w:cs="Calibri" w:eastAsia="Calibri" w:hAnsi="Calibri"/>
              </w:rPr>
              <w:t xml:space="preserve">Signature :</w:t>
            </w:r>
          </w:p>
        </w:tc>
      </w:tr>
    </w:tbl>
    <w:p>
      <w:pPr>
        <w:pageBreakBefore/>
      </w:pPr>
    </w:p>
    <w:p>
      <w:pPr>
        <w:spacing w:after="40" w:before="200"/>
      </w:pPr>
      <w:r>
        <w:rPr>
          <w:rFonts w:ascii="Calibri" w:cs="Calibri" w:eastAsia="Calibri" w:hAnsi="Calibri"/>
          <w:b/>
          <w:bCs/>
          <w:color w:val="C2410C"/>
          <w:spacing w:val="60"/>
          <w:sz w:val="20"/>
          <w:szCs w:val="20"/>
        </w:rPr>
        <w:t xml:space="preserve">MATNEXA</w:t>
      </w:r>
    </w:p>
    <w:p>
      <w:pPr>
        <w:spacing w:after="40"/>
        <w:jc w:val="left"/>
      </w:pPr>
      <w:r>
        <w:rPr>
          <w:rFonts w:ascii="Calibri" w:cs="Calibri" w:eastAsia="Calibri" w:hAnsi="Calibri"/>
          <w:b/>
          <w:bCs/>
          <w:color w:val="16191D"/>
          <w:sz w:val="40"/>
          <w:szCs w:val="40"/>
        </w:rPr>
        <w:t xml:space="preserve">Annexe A</w:t>
      </w:r>
    </w:p>
    <w:p>
      <w:pPr>
        <w:spacing w:after="200"/>
        <w:jc w:val="left"/>
      </w:pPr>
      <w:r>
        <w:rPr>
          <w:rFonts w:ascii="Calibri" w:cs="Calibri" w:eastAsia="Calibri" w:hAnsi="Calibri"/>
          <w:color w:val="5A6068"/>
          <w:sz w:val="22"/>
          <w:szCs w:val="22"/>
        </w:rPr>
        <w:t xml:space="preserve">Mesures de sécurité du Sous-traitant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Domaine</w:t>
            </w:r>
          </w:p>
        </w:tc>
        <w:tc>
          <w:tcPr>
            <w:tcW w:type="dxa" w:w="7132"/>
            <w:tcBorders>
              <w:top w:val="single" w:color="BFC3C8" w:sz="4"/>
              <w:left w:val="single" w:color="BFC3C8" w:sz="4"/>
              <w:bottom w:val="single" w:color="BFC3C8" w:sz="4"/>
              <w:right w:val="single" w:color="BFC3C8" w:sz="4"/>
            </w:tcBorders>
            <w:shd w:fill="ECEEF0" w:color="auto" w:val="clear"/>
            <w:tcMar>
              <w:top w:type="dxa" w:w="60"/>
              <w:left w:type="dxa" w:w="100"/>
              <w:bottom w:type="dxa" w:w="60"/>
              <w:right w:type="dxa" w:w="100"/>
            </w:tcMar>
          </w:tcPr>
          <w:p>
            <w:pPr>
              <w:spacing w:after="20"/>
              <w:jc w:val="left"/>
            </w:pPr>
            <w:r>
              <w:rPr>
                <w:rFonts w:ascii="Calibri" w:cs="Calibri" w:eastAsia="Calibri" w:hAnsi="Calibri"/>
                <w:b/>
                <w:bCs/>
              </w:rPr>
              <w:t xml:space="preserve">Mesures</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Échanges</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Chiffrement de toutes les communications (HTTPS). Cookies de session protégés ; en-têtes de sécurité (CSP, HSTS).</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Cloisonnement des clubs</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Isolation des données de chaque club au niveau de la base de données elle-même (règles de sécurité par ligne, imposées même à l'application) : un club ne peut pas lire les données d'un autre, même en cas d'erreur de code.</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Comptes et accès</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Mots de passe stockés sous forme hachée. Limitation des tentatives de connexion. Rôles distincts (propriétaire, administrateur, coach, membre). Journal des actions administratives conservé 24 mois.</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Administration de l'Éditeur</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Console réservée à un compte unique, protégée par un code à usage unique envoyé par e-mail. Elle n'affiche que des compteurs, pas le contenu des fiches.</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Sauvegardes</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Sauvegarde chiffrée de la base chaque jour, hors du serveur, sept conservées ; alerte automatique si une sauvegarde manque. Sauvegarde du serveur par l'hébergeur, conservée 7 jours. Restauration testée.</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Hébergement</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Serveur dédié chez OVHcloud, centre de données de Gravelines (France). Mises à jour de sécurité appliquées régulièrement.</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Surveillance</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Suivi des tâches planifiées, des envois d'e-mails et de notifications, alerte à l'Éditeur en cas d'anomalie.</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Minimisation</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Pas de données de santé détaillées, de biométrie ni de géolocalisation. Photos facultatives. Anonymisation automatique des fiches archivées. Effacement des comptes et des fiches à la demande.</w:t>
            </w:r>
          </w:p>
        </w:tc>
      </w:tr>
      <w:tr>
        <w:trPr>
          <w:cantSplit/>
          <w:tblHeader w:val="off"/>
        </w:trPr>
        <w:tc>
          <w:tcPr>
            <w:tcW w:type="dxa" w:w="2506"/>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Développement</w:t>
            </w:r>
          </w:p>
        </w:tc>
        <w:tc>
          <w:tcPr>
            <w:tcW w:type="dxa" w:w="7132"/>
            <w:tcBorders>
              <w:top w:val="single" w:color="BFC3C8" w:sz="4"/>
              <w:left w:val="single" w:color="BFC3C8" w:sz="4"/>
              <w:bottom w:val="single" w:color="BFC3C8" w:sz="4"/>
              <w:right w:val="single" w:color="BFC3C8" w:sz="4"/>
            </w:tcBorders>
            <w:tcMar>
              <w:top w:type="dxa" w:w="60"/>
              <w:left w:type="dxa" w:w="100"/>
              <w:bottom w:type="dxa" w:w="60"/>
              <w:right w:type="dxa" w:w="100"/>
            </w:tcMar>
          </w:tcPr>
          <w:p>
            <w:pPr>
              <w:spacing w:after="20"/>
              <w:jc w:val="left"/>
            </w:pPr>
            <w:r>
              <w:rPr>
                <w:rFonts w:ascii="Calibri" w:cs="Calibri" w:eastAsia="Calibri" w:hAnsi="Calibri"/>
              </w:rPr>
              <w:t xml:space="preserve">Contrôles automatisés avant chaque mise en production, dont des tests des règles d'isolation des clubs et un contrôle de l'absence de secrets dans le code.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068"/>
        <w:sz w:val="16"/>
        <w:szCs w:val="16"/>
      </w:rPr>
      <w:t xml:space="preserve">Page </w:t>
    </w:r>
    <w:r>
      <w:rPr>
        <w:rFonts w:ascii="Calibri" w:cs="Calibri" w:eastAsia="Calibri" w:hAnsi="Calibri"/>
        <w:color w:val="5A6068"/>
        <w:sz w:val="16"/>
        <w:szCs w:val="16"/>
      </w:rPr>
      <w:fldChar w:fldCharType="begin"/>
      <w:instrText xml:space="preserve">PAGE</w:instrText>
      <w:fldChar w:fldCharType="separate"/>
      <w:fldChar w:fldCharType="end"/>
    </w:r>
    <w:r>
      <w:rPr>
        <w:rFonts w:ascii="Calibri" w:cs="Calibri" w:eastAsia="Calibri" w:hAnsi="Calibri"/>
        <w:color w:val="5A6068"/>
        <w:sz w:val="16"/>
        <w:szCs w:val="16"/>
      </w:rPr>
      <w:t xml:space="preserve"> sur </w:t>
    </w:r>
    <w:r>
      <w:rPr>
        <w:rFonts w:ascii="Calibri" w:cs="Calibri" w:eastAsia="Calibri" w:hAnsi="Calibri"/>
        <w:color w:val="5A60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3C8" w:sz="4" w:space="6"/>
      </w:pBdr>
      <w:spacing w:after="120"/>
    </w:pPr>
    <w:r>
      <w:rPr>
        <w:rFonts w:ascii="Calibri" w:cs="Calibri" w:eastAsia="Calibri" w:hAnsi="Calibri"/>
        <w:b/>
        <w:bCs/>
        <w:color w:val="C2410C"/>
        <w:spacing w:val="60"/>
        <w:sz w:val="16"/>
        <w:szCs w:val="16"/>
      </w:rPr>
      <w:t xml:space="preserve">MATNEXA</w:t>
    </w:r>
    <w:r>
      <w:rPr>
        <w:rFonts w:ascii="Calibri" w:cs="Calibri" w:eastAsia="Calibri" w:hAnsi="Calibri"/>
        <w:color w:val="5A6068"/>
        <w:sz w:val="16"/>
        <w:szCs w:val="16"/>
      </w:rPr>
      <w:t xml:space="preserve">   ·   Accord de traitement des données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91D"/>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Accord de traitement des données</dc:title>
  <dc:creator>Matnexa</dc:creator>
  <dc:description>Modèle Matnexa — à compléter pour chaque club</dc:description>
  <cp:lastModifiedBy>Un-named</cp:lastModifiedBy>
  <cp:revision>1</cp:revision>
  <dcterms:created xsi:type="dcterms:W3CDTF">2026-10-16T20:28:22.141Z</dcterms:created>
  <dcterms:modified xsi:type="dcterms:W3CDTF">2026-10-16T20:28:22.141Z</dcterms:modified>
</cp:coreProperties>
</file>

<file path=docProps/custom.xml><?xml version="1.0" encoding="utf-8"?>
<Properties xmlns="http://schemas.openxmlformats.org/officeDocument/2006/custom-properties" xmlns:vt="http://schemas.openxmlformats.org/officeDocument/2006/docPropsVTypes"/>
</file>